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80" w:lineRule="exact"/>
        <w:jc w:val="left"/>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kern w:val="0"/>
          <w:sz w:val="32"/>
          <w:szCs w:val="32"/>
          <w:lang w:eastAsia="zh-CN"/>
          <w14:textFill>
            <w14:solidFill>
              <w14:schemeClr w14:val="tx1"/>
            </w14:solidFill>
          </w14:textFill>
        </w:rPr>
        <w:t>附件</w:t>
      </w: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r>
        <w:rPr>
          <w:rFonts w:ascii="宋体" w:hAnsi="宋体" w:eastAsia="宋体" w:cs="宋体"/>
          <w:b/>
          <w:color w:val="000000" w:themeColor="text1"/>
          <w:kern w:val="0"/>
          <w:sz w:val="44"/>
          <w:szCs w:val="44"/>
          <w14:textFill>
            <w14:solidFill>
              <w14:schemeClr w14:val="tx1"/>
            </w14:solidFill>
          </w14:textFill>
        </w:rPr>
        <w:t>20</w:t>
      </w:r>
      <w:r>
        <w:rPr>
          <w:rFonts w:hint="eastAsia" w:ascii="宋体" w:hAnsi="宋体" w:eastAsia="宋体" w:cs="宋体"/>
          <w:b/>
          <w:color w:val="000000" w:themeColor="text1"/>
          <w:kern w:val="0"/>
          <w:sz w:val="44"/>
          <w:szCs w:val="44"/>
          <w:lang w:val="en-US" w:eastAsia="zh-CN"/>
          <w14:textFill>
            <w14:solidFill>
              <w14:schemeClr w14:val="tx1"/>
            </w14:solidFill>
          </w14:textFill>
        </w:rPr>
        <w:t>25</w:t>
      </w:r>
      <w:r>
        <w:rPr>
          <w:rFonts w:ascii="宋体" w:hAnsi="宋体" w:eastAsia="宋体" w:cs="宋体"/>
          <w:b/>
          <w:color w:val="000000" w:themeColor="text1"/>
          <w:kern w:val="0"/>
          <w:sz w:val="44"/>
          <w:szCs w:val="44"/>
          <w14:textFill>
            <w14:solidFill>
              <w14:schemeClr w14:val="tx1"/>
            </w14:solidFill>
          </w14:textFill>
        </w:rPr>
        <w:t>年度深圳市总部企业</w:t>
      </w:r>
      <w:r>
        <w:rPr>
          <w:rFonts w:hint="eastAsia" w:ascii="宋体" w:hAnsi="宋体" w:eastAsia="宋体" w:cs="宋体"/>
          <w:b/>
          <w:color w:val="000000" w:themeColor="text1"/>
          <w:kern w:val="0"/>
          <w:sz w:val="44"/>
          <w:szCs w:val="44"/>
          <w:lang w:eastAsia="zh-CN"/>
          <w14:textFill>
            <w14:solidFill>
              <w14:schemeClr w14:val="tx1"/>
            </w14:solidFill>
          </w14:textFill>
        </w:rPr>
        <w:t>复核</w:t>
      </w:r>
      <w:r>
        <w:rPr>
          <w:rFonts w:ascii="宋体" w:hAnsi="宋体" w:eastAsia="宋体" w:cs="宋体"/>
          <w:b/>
          <w:color w:val="000000" w:themeColor="text1"/>
          <w:kern w:val="0"/>
          <w:sz w:val="44"/>
          <w:szCs w:val="44"/>
          <w14:textFill>
            <w14:solidFill>
              <w14:schemeClr w14:val="tx1"/>
            </w14:solidFill>
          </w14:textFill>
        </w:rPr>
        <w:t>申报指南</w:t>
      </w:r>
    </w:p>
    <w:p>
      <w:pPr>
        <w:keepNext w:val="0"/>
        <w:keepLines w:val="0"/>
        <w:pageBreakBefore w:val="0"/>
        <w:widowControl/>
        <w:shd w:val="clear" w:color="auto" w:fill="FFFFFF"/>
        <w:kinsoku/>
        <w:overflowPunct/>
        <w:topLinePunct w:val="0"/>
        <w:autoSpaceDE/>
        <w:autoSpaceDN/>
        <w:bidi w:val="0"/>
        <w:adjustRightInd/>
        <w:snapToGrid/>
        <w:spacing w:line="580" w:lineRule="exact"/>
        <w:jc w:val="center"/>
        <w:textAlignment w:val="auto"/>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根据《深圳市</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推动总部经济高质量发展的实施意见</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深</w:t>
      </w:r>
      <w:r>
        <w:rPr>
          <w:rFonts w:hint="eastAsia" w:ascii="仿宋_GB2312" w:hAnsi="微软雅黑" w:eastAsia="仿宋_GB2312" w:cs="宋体"/>
          <w:color w:val="auto"/>
          <w:kern w:val="0"/>
          <w:sz w:val="32"/>
          <w:szCs w:val="32"/>
          <w:lang w:eastAsia="zh-CN"/>
        </w:rPr>
        <w:t>发改规</w:t>
      </w:r>
      <w:r>
        <w:rPr>
          <w:rFonts w:hint="eastAsia" w:ascii="仿宋_GB2312" w:hAnsi="微软雅黑" w:eastAsia="仿宋_GB2312" w:cs="宋体"/>
          <w:color w:val="auto"/>
          <w:kern w:val="0"/>
          <w:sz w:val="32"/>
          <w:szCs w:val="32"/>
        </w:rPr>
        <w:t>〔20</w:t>
      </w:r>
      <w:r>
        <w:rPr>
          <w:rFonts w:hint="eastAsia" w:ascii="仿宋_GB2312" w:hAnsi="微软雅黑" w:eastAsia="仿宋_GB2312" w:cs="宋体"/>
          <w:color w:val="auto"/>
          <w:kern w:val="0"/>
          <w:sz w:val="32"/>
          <w:szCs w:val="32"/>
          <w:lang w:val="en-US" w:eastAsia="zh-CN"/>
        </w:rPr>
        <w:t>23</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12</w:t>
      </w:r>
      <w:r>
        <w:rPr>
          <w:rFonts w:hint="eastAsia" w:ascii="仿宋_GB2312" w:hAnsi="微软雅黑" w:eastAsia="仿宋_GB2312" w:cs="宋体"/>
          <w:color w:val="auto"/>
          <w:kern w:val="0"/>
          <w:sz w:val="32"/>
          <w:szCs w:val="32"/>
        </w:rPr>
        <w:t>号，以下简称《</w:t>
      </w:r>
      <w:r>
        <w:rPr>
          <w:rFonts w:hint="eastAsia" w:ascii="仿宋_GB2312" w:hAnsi="微软雅黑" w:eastAsia="仿宋_GB2312" w:cs="宋体"/>
          <w:color w:val="auto"/>
          <w:kern w:val="0"/>
          <w:sz w:val="32"/>
          <w:szCs w:val="32"/>
          <w:lang w:eastAsia="zh-CN"/>
        </w:rPr>
        <w:t>实施意见</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000000" w:themeColor="text1"/>
          <w:kern w:val="0"/>
          <w:sz w:val="32"/>
          <w:szCs w:val="32"/>
          <w14:textFill>
            <w14:solidFill>
              <w14:schemeClr w14:val="tx1"/>
            </w14:solidFill>
          </w14:textFill>
        </w:rPr>
        <w:t>有关规定，为做好</w:t>
      </w:r>
      <w:r>
        <w:rPr>
          <w:rFonts w:ascii="仿宋_GB2312" w:hAnsi="微软雅黑" w:eastAsia="仿宋_GB2312" w:cs="宋体"/>
          <w:color w:val="000000" w:themeColor="text1"/>
          <w:kern w:val="0"/>
          <w:sz w:val="32"/>
          <w:szCs w:val="32"/>
          <w14:textFill>
            <w14:solidFill>
              <w14:schemeClr w14:val="tx1"/>
            </w14:solidFill>
          </w14:textFill>
        </w:rPr>
        <w:t>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25</w:t>
      </w:r>
      <w:r>
        <w:rPr>
          <w:rFonts w:ascii="仿宋_GB2312" w:hAnsi="微软雅黑" w:eastAsia="仿宋_GB2312" w:cs="宋体"/>
          <w:color w:val="000000" w:themeColor="text1"/>
          <w:kern w:val="0"/>
          <w:sz w:val="32"/>
          <w:szCs w:val="32"/>
          <w14:textFill>
            <w14:solidFill>
              <w14:schemeClr w14:val="tx1"/>
            </w14:solidFill>
          </w14:textFill>
        </w:rPr>
        <w:t>年度深圳市总部企业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复核</w:t>
      </w:r>
      <w:r>
        <w:rPr>
          <w:rFonts w:ascii="仿宋_GB2312" w:hAnsi="微软雅黑" w:eastAsia="仿宋_GB2312" w:cs="宋体"/>
          <w:color w:val="000000" w:themeColor="text1"/>
          <w:kern w:val="0"/>
          <w:sz w:val="32"/>
          <w:szCs w:val="32"/>
          <w14:textFill>
            <w14:solidFill>
              <w14:schemeClr w14:val="tx1"/>
            </w14:solidFill>
          </w14:textFill>
        </w:rPr>
        <w:t>相关工作</w:t>
      </w:r>
      <w:r>
        <w:rPr>
          <w:rFonts w:hint="eastAsia" w:ascii="仿宋_GB2312" w:hAnsi="微软雅黑" w:eastAsia="仿宋_GB2312" w:cs="宋体"/>
          <w:color w:val="000000" w:themeColor="text1"/>
          <w:kern w:val="0"/>
          <w:sz w:val="32"/>
          <w:szCs w:val="32"/>
          <w14:textFill>
            <w14:solidFill>
              <w14:schemeClr w14:val="tx1"/>
            </w14:solidFill>
          </w14:textFill>
        </w:rPr>
        <w:t>，特制定本申报指南。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一、申报条件</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2023年之前认定且经过2024年度复核后仍在库，以及2024年新认定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（即以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2023年经营数据认定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的总部企业，应申请总部企业复核</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二、申报和审核程序</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楷体_GB2312" w:hAnsi="微软雅黑" w:eastAsia="楷体_GB2312" w:cs="宋体"/>
          <w:color w:val="auto"/>
          <w:kern w:val="0"/>
          <w:sz w:val="32"/>
          <w:szCs w:val="32"/>
        </w:rPr>
      </w:pPr>
      <w:r>
        <w:rPr>
          <w:rFonts w:hint="eastAsia" w:ascii="楷体_GB2312" w:hAnsi="微软雅黑" w:eastAsia="楷体_GB2312" w:cs="宋体"/>
          <w:color w:val="000000" w:themeColor="text1"/>
          <w:kern w:val="0"/>
          <w:sz w:val="32"/>
          <w:szCs w:val="32"/>
          <w14:textFill>
            <w14:solidFill>
              <w14:schemeClr w14:val="tx1"/>
            </w14:solidFill>
          </w14:textFill>
        </w:rPr>
        <w:t>　　（一）申报受理时间及网</w:t>
      </w:r>
      <w:r>
        <w:rPr>
          <w:rFonts w:hint="eastAsia" w:ascii="楷体_GB2312" w:hAnsi="微软雅黑" w:eastAsia="楷体_GB2312" w:cs="宋体"/>
          <w:color w:val="auto"/>
          <w:kern w:val="0"/>
          <w:sz w:val="32"/>
          <w:szCs w:val="32"/>
        </w:rPr>
        <w:t>上申报入口</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1.申报受理时间：</w:t>
      </w:r>
      <w:r>
        <w:rPr>
          <w:rFonts w:hint="eastAsia" w:ascii="仿宋_GB2312" w:hAnsi="微软雅黑" w:eastAsia="仿宋_GB2312" w:cs="宋体"/>
          <w:color w:val="auto"/>
          <w:kern w:val="0"/>
          <w:sz w:val="32"/>
          <w:szCs w:val="32"/>
          <w:lang w:eastAsia="zh-CN"/>
        </w:rPr>
        <w:t>即日起</w:t>
      </w:r>
      <w:r>
        <w:rPr>
          <w:rFonts w:ascii="仿宋_GB2312" w:hAnsi="微软雅黑" w:eastAsia="仿宋_GB2312" w:cs="宋体"/>
          <w:color w:val="auto"/>
          <w:kern w:val="0"/>
          <w:sz w:val="32"/>
          <w:szCs w:val="32"/>
        </w:rPr>
        <w:t>至</w:t>
      </w:r>
      <w:r>
        <w:rPr>
          <w:rFonts w:hint="eastAsia" w:ascii="仿宋_GB2312" w:hAnsi="微软雅黑" w:eastAsia="仿宋_GB2312" w:cs="宋体"/>
          <w:color w:val="auto"/>
          <w:kern w:val="0"/>
          <w:sz w:val="32"/>
          <w:szCs w:val="32"/>
          <w:lang w:val="en-US" w:eastAsia="zh-CN"/>
        </w:rPr>
        <w:t>2025年9</w:t>
      </w:r>
      <w:r>
        <w:rPr>
          <w:rFonts w:hint="eastAsia" w:ascii="仿宋_GB2312" w:hAnsi="微软雅黑" w:eastAsia="仿宋_GB2312" w:cs="宋体"/>
          <w:color w:val="auto"/>
          <w:kern w:val="0"/>
          <w:sz w:val="32"/>
          <w:szCs w:val="32"/>
        </w:rPr>
        <w:t>月</w:t>
      </w:r>
      <w:r>
        <w:rPr>
          <w:rFonts w:hint="eastAsia" w:ascii="仿宋_GB2312" w:hAnsi="Times New Roman" w:eastAsia="仿宋_GB2312" w:cs="仿宋_GB2312"/>
          <w:sz w:val="32"/>
          <w:szCs w:val="32"/>
          <w:lang w:val="en-US" w:eastAsia="zh-CN"/>
        </w:rPr>
        <w:t>30</w:t>
      </w:r>
      <w:r>
        <w:rPr>
          <w:rFonts w:hint="eastAsia" w:ascii="仿宋_GB2312" w:hAnsi="微软雅黑" w:eastAsia="仿宋_GB2312" w:cs="宋体"/>
          <w:color w:val="auto"/>
          <w:kern w:val="0"/>
          <w:sz w:val="32"/>
          <w:szCs w:val="32"/>
        </w:rPr>
        <w:t>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auto"/>
          <w:kern w:val="0"/>
          <w:sz w:val="32"/>
          <w:szCs w:val="32"/>
          <w:highlight w:val="yellow"/>
        </w:rPr>
      </w:pPr>
      <w:r>
        <w:rPr>
          <w:rFonts w:hint="eastAsia" w:ascii="仿宋_GB2312" w:hAnsi="微软雅黑" w:eastAsia="仿宋_GB2312" w:cs="宋体"/>
          <w:color w:val="auto"/>
          <w:kern w:val="0"/>
          <w:sz w:val="32"/>
          <w:szCs w:val="32"/>
        </w:rPr>
        <w:t>2.访问入口：深圳市财政专项资金统一管理平台</w:t>
      </w:r>
      <w:r>
        <w:rPr>
          <w:rFonts w:hint="eastAsia" w:ascii="仿宋_GB2312" w:hAnsi="微软雅黑" w:eastAsia="仿宋_GB2312" w:cs="宋体"/>
          <w:color w:val="auto"/>
          <w:kern w:val="0"/>
          <w:sz w:val="32"/>
          <w:szCs w:val="32"/>
          <w:lang w:val="en-US" w:eastAsia="zh-CN"/>
        </w:rPr>
        <w:t>(</w:t>
      </w:r>
      <w:r>
        <w:rPr>
          <w:rFonts w:hint="eastAsia" w:ascii="仿宋_GB2312" w:hAnsi="微软雅黑" w:eastAsia="仿宋_GB2312" w:cs="宋体"/>
          <w:color w:val="auto"/>
          <w:kern w:val="0"/>
          <w:sz w:val="32"/>
          <w:szCs w:val="32"/>
          <w:lang w:eastAsia="zh-CN"/>
        </w:rPr>
        <w:t>https://cqt.szfb.sz.gov.cn/</w:t>
      </w:r>
      <w:r>
        <w:rPr>
          <w:rFonts w:hint="eastAsia" w:ascii="仿宋_GB2312" w:hAnsi="微软雅黑" w:eastAsia="仿宋_GB2312" w:cs="宋体"/>
          <w:color w:val="auto"/>
          <w:kern w:val="0"/>
          <w:sz w:val="32"/>
          <w:szCs w:val="32"/>
          <w:lang w:val="en-US" w:eastAsia="zh-CN"/>
        </w:rPr>
        <w:t>)</w:t>
      </w:r>
      <w:r>
        <w:rPr>
          <w:rFonts w:hint="eastAsia" w:ascii="仿宋_GB2312" w:hAnsi="微软雅黑" w:eastAsia="仿宋_GB2312" w:cs="宋体"/>
          <w:color w:val="auto"/>
          <w:kern w:val="0"/>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hint="eastAsia"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（二）有关部门审核及核算</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1.市</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发展改革</w:t>
      </w:r>
      <w:r>
        <w:rPr>
          <w:rFonts w:hint="eastAsia" w:ascii="仿宋_GB2312" w:hAnsi="微软雅黑" w:eastAsia="仿宋_GB2312" w:cs="宋体"/>
          <w:color w:val="000000" w:themeColor="text1"/>
          <w:kern w:val="0"/>
          <w:sz w:val="32"/>
          <w:szCs w:val="32"/>
          <w14:textFill>
            <w14:solidFill>
              <w14:schemeClr w14:val="tx1"/>
            </w14:solidFill>
          </w14:textFill>
        </w:rPr>
        <w:t>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初审，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负责对申报企业基本条件、材料合规性等情况进行形式审查。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市</w:t>
      </w:r>
      <w:r>
        <w:rPr>
          <w:rFonts w:hint="eastAsia" w:ascii="仿宋_GB2312" w:hAnsi="微软雅黑" w:eastAsia="仿宋_GB2312" w:cs="宋体"/>
          <w:color w:val="000000" w:themeColor="text1"/>
          <w:kern w:val="0"/>
          <w:sz w:val="32"/>
          <w:szCs w:val="32"/>
          <w14:textFill>
            <w14:solidFill>
              <w14:schemeClr w14:val="tx1"/>
            </w14:solidFill>
          </w14:textFill>
        </w:rPr>
        <w:t>统计</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部门</w:t>
      </w:r>
      <w:r>
        <w:rPr>
          <w:rFonts w:hint="eastAsia" w:ascii="仿宋_GB2312" w:hAnsi="微软雅黑" w:eastAsia="仿宋_GB2312" w:cs="宋体"/>
          <w:color w:val="000000" w:themeColor="text1"/>
          <w:kern w:val="0"/>
          <w:sz w:val="32"/>
          <w:szCs w:val="32"/>
          <w14:textFill>
            <w14:solidFill>
              <w14:schemeClr w14:val="tx1"/>
            </w14:solidFill>
          </w14:textFill>
        </w:rPr>
        <w:t>负责审核企业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的营业收入情况，</w:t>
      </w:r>
      <w:r>
        <w:rPr>
          <w:rFonts w:hint="eastAsia" w:ascii="仿宋_GB2312" w:hAnsi="微软雅黑" w:eastAsia="仿宋_GB2312" w:cs="宋体"/>
          <w:color w:val="000000" w:themeColor="text1"/>
          <w:kern w:val="0"/>
          <w:sz w:val="32"/>
          <w:szCs w:val="32"/>
          <w14:textFill>
            <w14:solidFill>
              <w14:schemeClr w14:val="tx1"/>
            </w14:solidFill>
          </w14:textFill>
        </w:rPr>
        <w:t>市市场监管部门负责审核企业的注册登记和股权情况</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，人民银行深圳市分行负责审核银行市级分行本外币存贷款月末平均余额情况。</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.市发展改革部门根据市统计</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市场监管</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、人行</w:t>
      </w:r>
      <w:r>
        <w:rPr>
          <w:rFonts w:hint="eastAsia" w:ascii="仿宋_GB2312" w:hAnsi="微软雅黑" w:eastAsia="仿宋_GB2312" w:cs="宋体"/>
          <w:color w:val="000000" w:themeColor="text1"/>
          <w:kern w:val="0"/>
          <w:sz w:val="32"/>
          <w:szCs w:val="32"/>
          <w14:textFill>
            <w14:solidFill>
              <w14:schemeClr w14:val="tx1"/>
            </w14:solidFill>
          </w14:textFill>
        </w:rPr>
        <w:t>等有关部门的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审核</w:t>
      </w:r>
      <w:r>
        <w:rPr>
          <w:rFonts w:hint="eastAsia" w:ascii="仿宋_GB2312" w:hAnsi="微软雅黑" w:eastAsia="仿宋_GB2312" w:cs="宋体"/>
          <w:color w:val="000000" w:themeColor="text1"/>
          <w:kern w:val="0"/>
          <w:sz w:val="32"/>
          <w:szCs w:val="32"/>
          <w14:textFill>
            <w14:solidFill>
              <w14:schemeClr w14:val="tx1"/>
            </w14:solidFill>
          </w14:textFill>
        </w:rPr>
        <w:t>结果，对申报企业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的总部资格</w:t>
      </w:r>
      <w:r>
        <w:rPr>
          <w:rFonts w:hint="eastAsia" w:ascii="仿宋_GB2312" w:hAnsi="微软雅黑" w:eastAsia="仿宋_GB2312" w:cs="宋体"/>
          <w:color w:val="000000" w:themeColor="text1"/>
          <w:kern w:val="0"/>
          <w:sz w:val="32"/>
          <w:szCs w:val="32"/>
          <w14:textFill>
            <w14:solidFill>
              <w14:schemeClr w14:val="tx1"/>
            </w14:solidFill>
          </w14:textFill>
        </w:rPr>
        <w:t>进行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复核</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w:t>
      </w:r>
      <w:r>
        <w:rPr>
          <w:rFonts w:hint="eastAsia" w:ascii="楷体_GB2312" w:hAnsi="微软雅黑" w:eastAsia="楷体_GB2312" w:cs="宋体"/>
          <w:color w:val="000000" w:themeColor="text1"/>
          <w:kern w:val="0"/>
          <w:sz w:val="32"/>
          <w:szCs w:val="32"/>
          <w:lang w:eastAsia="zh-CN"/>
          <w14:textFill>
            <w14:solidFill>
              <w14:schemeClr w14:val="tx1"/>
            </w14:solidFill>
          </w14:textFill>
        </w:rPr>
        <w:t>三</w:t>
      </w:r>
      <w:r>
        <w:rPr>
          <w:rFonts w:hint="eastAsia" w:ascii="楷体_GB2312" w:hAnsi="微软雅黑" w:eastAsia="楷体_GB2312" w:cs="宋体"/>
          <w:color w:val="000000" w:themeColor="text1"/>
          <w:kern w:val="0"/>
          <w:sz w:val="32"/>
          <w:szCs w:val="32"/>
          <w14:textFill>
            <w14:solidFill>
              <w14:schemeClr w14:val="tx1"/>
            </w14:solidFill>
          </w14:textFill>
        </w:rPr>
        <w:t>）提交</w:t>
      </w:r>
      <w:r>
        <w:rPr>
          <w:rFonts w:hint="eastAsia" w:ascii="楷体_GB2312" w:hAnsi="微软雅黑" w:eastAsia="楷体_GB2312" w:cs="宋体"/>
          <w:color w:val="000000" w:themeColor="text1"/>
          <w:kern w:val="0"/>
          <w:sz w:val="32"/>
          <w:szCs w:val="32"/>
          <w:lang w:eastAsia="zh-CN"/>
          <w14:textFill>
            <w14:solidFill>
              <w14:schemeClr w14:val="tx1"/>
            </w14:solidFill>
          </w14:textFill>
        </w:rPr>
        <w:t>集体讨论</w:t>
      </w:r>
      <w:r>
        <w:rPr>
          <w:rFonts w:hint="eastAsia" w:ascii="楷体_GB2312" w:hAnsi="微软雅黑" w:eastAsia="楷体_GB2312" w:cs="宋体"/>
          <w:color w:val="000000" w:themeColor="text1"/>
          <w:kern w:val="0"/>
          <w:sz w:val="32"/>
          <w:szCs w:val="32"/>
          <w14:textFill>
            <w14:solidFill>
              <w14:schemeClr w14:val="tx1"/>
            </w14:solidFill>
          </w14:textFill>
        </w:rPr>
        <w:t>审定</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市发展改革部门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将复核结果</w:t>
      </w:r>
      <w:r>
        <w:rPr>
          <w:rFonts w:hint="eastAsia" w:ascii="仿宋_GB2312" w:hAnsi="微软雅黑" w:eastAsia="仿宋_GB2312" w:cs="宋体"/>
          <w:color w:val="000000" w:themeColor="text1"/>
          <w:kern w:val="0"/>
          <w:sz w:val="32"/>
          <w:szCs w:val="32"/>
          <w14:textFill>
            <w14:solidFill>
              <w14:schemeClr w14:val="tx1"/>
            </w14:solidFill>
          </w14:textFill>
        </w:rPr>
        <w:t>提交</w:t>
      </w:r>
      <w:r>
        <w:rPr>
          <w:rFonts w:hint="eastAsia" w:ascii="仿宋_GB2312" w:hAnsi="微软雅黑" w:eastAsia="仿宋_GB2312" w:cs="宋体"/>
          <w:color w:val="000000" w:themeColor="text1"/>
          <w:kern w:val="0"/>
          <w:sz w:val="32"/>
          <w:szCs w:val="32"/>
          <w:lang w:eastAsia="zh-CN"/>
          <w14:textFill>
            <w14:solidFill>
              <w14:schemeClr w14:val="tx1"/>
            </w14:solidFill>
          </w14:textFill>
        </w:rPr>
        <w:t>部门内集体讨论</w:t>
      </w:r>
      <w:r>
        <w:rPr>
          <w:rFonts w:hint="eastAsia" w:ascii="仿宋_GB2312" w:hAnsi="微软雅黑" w:eastAsia="仿宋_GB2312" w:cs="宋体"/>
          <w:color w:val="000000" w:themeColor="text1"/>
          <w:kern w:val="0"/>
          <w:sz w:val="32"/>
          <w:szCs w:val="32"/>
          <w14:textFill>
            <w14:solidFill>
              <w14:schemeClr w14:val="tx1"/>
            </w14:solidFill>
          </w14:textFill>
        </w:rPr>
        <w:t>审定。</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textAlignment w:val="auto"/>
        <w:rPr>
          <w:rFonts w:hint="eastAsia" w:ascii="楷体_GB2312" w:hAnsi="微软雅黑" w:eastAsia="楷体_GB2312" w:cs="宋体"/>
          <w:color w:val="000000" w:themeColor="text1"/>
          <w:kern w:val="0"/>
          <w:sz w:val="32"/>
          <w:szCs w:val="32"/>
          <w:lang w:eastAsia="zh-CN"/>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w:t>
      </w:r>
      <w:r>
        <w:rPr>
          <w:rFonts w:hint="eastAsia" w:ascii="楷体_GB2312" w:hAnsi="微软雅黑" w:eastAsia="楷体_GB2312" w:cs="宋体"/>
          <w:color w:val="000000" w:themeColor="text1"/>
          <w:kern w:val="0"/>
          <w:sz w:val="32"/>
          <w:szCs w:val="32"/>
          <w:lang w:eastAsia="zh-CN"/>
          <w14:textFill>
            <w14:solidFill>
              <w14:schemeClr w14:val="tx1"/>
            </w14:solidFill>
          </w14:textFill>
        </w:rPr>
        <w:t>四</w:t>
      </w:r>
      <w:r>
        <w:rPr>
          <w:rFonts w:hint="eastAsia" w:ascii="楷体_GB2312" w:hAnsi="微软雅黑" w:eastAsia="楷体_GB2312" w:cs="宋体"/>
          <w:color w:val="000000" w:themeColor="text1"/>
          <w:kern w:val="0"/>
          <w:sz w:val="32"/>
          <w:szCs w:val="32"/>
          <w14:textFill>
            <w14:solidFill>
              <w14:schemeClr w14:val="tx1"/>
            </w14:solidFill>
          </w14:textFill>
        </w:rPr>
        <w:t>）</w:t>
      </w:r>
      <w:r>
        <w:rPr>
          <w:rFonts w:hint="eastAsia" w:ascii="楷体_GB2312" w:hAnsi="微软雅黑" w:eastAsia="楷体_GB2312" w:cs="宋体"/>
          <w:color w:val="000000" w:themeColor="text1"/>
          <w:kern w:val="0"/>
          <w:sz w:val="32"/>
          <w:szCs w:val="32"/>
          <w:lang w:eastAsia="zh-CN"/>
          <w14:textFill>
            <w14:solidFill>
              <w14:schemeClr w14:val="tx1"/>
            </w14:solidFill>
          </w14:textFill>
        </w:rPr>
        <w:t>结果通知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集体讨论</w:t>
      </w:r>
      <w:r>
        <w:rPr>
          <w:rFonts w:hint="eastAsia" w:ascii="仿宋_GB2312" w:hAnsi="微软雅黑" w:eastAsia="仿宋_GB2312" w:cs="宋体"/>
          <w:color w:val="000000" w:themeColor="text1"/>
          <w:kern w:val="0"/>
          <w:sz w:val="32"/>
          <w:szCs w:val="32"/>
          <w14:textFill>
            <w14:solidFill>
              <w14:schemeClr w14:val="tx1"/>
            </w14:solidFill>
          </w14:textFill>
        </w:rPr>
        <w:t>审定通过后，由市发展改革部门将</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复核</w:t>
      </w:r>
      <w:r>
        <w:rPr>
          <w:rFonts w:hint="eastAsia" w:ascii="仿宋_GB2312" w:hAnsi="微软雅黑" w:eastAsia="仿宋_GB2312" w:cs="宋体"/>
          <w:color w:val="000000" w:themeColor="text1"/>
          <w:kern w:val="0"/>
          <w:sz w:val="32"/>
          <w:szCs w:val="32"/>
          <w14:textFill>
            <w14:solidFill>
              <w14:schemeClr w14:val="tx1"/>
            </w14:solidFill>
          </w14:textFill>
        </w:rPr>
        <w:t>结果反馈企业，并按规定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更新我市总部企业名录</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left="0" w:leftChars="0"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三、具体申报要求和申报流程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要求</w:t>
      </w:r>
      <w:r>
        <w:rPr>
          <w:rFonts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202</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年之前认定且经过202</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宋体"/>
          <w:color w:val="000000" w:themeColor="text1"/>
          <w:kern w:val="0"/>
          <w:sz w:val="32"/>
          <w:szCs w:val="32"/>
          <w14:textFill>
            <w14:solidFill>
              <w14:schemeClr w14:val="tx1"/>
            </w14:solidFill>
          </w14:textFill>
        </w:rPr>
        <w:t>年度复核后仍在库，</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以及2024年新认定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（即以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2023年经营数据认定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应申请总部企业复核</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，连续两年复核不符合条件的企业调整出总部企业名录。对签订合作协议认定的总部企业，在协议期满后按照对应的榜单、市值或估值、行业经济贡献等认定标准进行资格复核</w:t>
      </w:r>
      <w:r>
        <w:rPr>
          <w:rFonts w:hint="eastAsia" w:ascii="仿宋_GB2312" w:hAnsi="微软雅黑" w:eastAsia="仿宋_GB2312" w:cs="宋体"/>
          <w:color w:val="000000" w:themeColor="text1"/>
          <w:kern w:val="0"/>
          <w:sz w:val="32"/>
          <w:szCs w:val="32"/>
          <w14:textFill>
            <w14:solidFill>
              <w14:schemeClr w14:val="tx1"/>
            </w14:solidFill>
          </w14:textFill>
        </w:rPr>
        <w:t>。总部企业连续两年未提交复核申请的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移出总部企业名单</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总部企业一年未提交复核申请的</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若上一年复核未通过则移出总部企业名单</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若上一年复核通过则保留总部企业资格</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但相关奖补政策不得享受且不能颁发总部企业证书。</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.申报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材料</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总部企业复核申请表</w:t>
      </w:r>
      <w:r>
        <w:rPr>
          <w:rFonts w:hint="eastAsia" w:ascii="仿宋_GB2312" w:hAnsi="Times New Roman" w:eastAsia="仿宋_GB2312" w:cs="Times New Roman"/>
          <w:sz w:val="32"/>
          <w:szCs w:val="32"/>
          <w:lang w:val="en-US" w:eastAsia="zh-CN"/>
        </w:rPr>
        <w:t>（须加盖申报企业公章）</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（2）总部企业及下属子公司2024年1月1日至2024年12月31日期间的统计报表PDF文件（财务状况表）</w:t>
      </w:r>
      <w:r>
        <w:rPr>
          <w:rFonts w:hint="eastAsia" w:ascii="仿宋_GB2312" w:hAnsi="Times New Roman" w:eastAsia="仿宋_GB2312" w:cs="Times New Roman"/>
          <w:sz w:val="32"/>
          <w:szCs w:val="32"/>
          <w:lang w:val="en-US" w:eastAsia="zh-CN"/>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（3）总部企业及下属子公司2024年1月1日至2024年12月31日期间（税款缴纳时间）的纳税证明</w:t>
      </w:r>
      <w:r>
        <w:rPr>
          <w:rFonts w:hint="eastAsia" w:ascii="仿宋_GB2312" w:hAnsi="Times New Roman" w:eastAsia="仿宋_GB2312" w:cs="Times New Roman"/>
          <w:sz w:val="32"/>
          <w:szCs w:val="32"/>
          <w:lang w:val="en-US" w:eastAsia="zh-CN"/>
        </w:rPr>
        <w:t>PDF文件。</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.申报流程：</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6"/>
        <w:textAlignment w:val="auto"/>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）根据</w:t>
      </w:r>
      <w:r>
        <w:rPr>
          <w:rFonts w:hint="eastAsia" w:ascii="仿宋_GB2312" w:hAnsi="黑体" w:eastAsia="仿宋_GB2312"/>
          <w:sz w:val="32"/>
          <w:szCs w:val="32"/>
          <w:lang w:eastAsia="zh-CN"/>
        </w:rPr>
        <w:t>总部企业复核</w:t>
      </w:r>
      <w:r>
        <w:rPr>
          <w:rFonts w:hint="eastAsia" w:ascii="仿宋_GB2312" w:hAnsi="黑体" w:eastAsia="仿宋_GB2312"/>
          <w:sz w:val="32"/>
          <w:szCs w:val="32"/>
        </w:rPr>
        <w:t>申报页面要求，填报相关内容</w:t>
      </w:r>
      <w:r>
        <w:rPr>
          <w:rFonts w:hint="eastAsia" w:ascii="仿宋_GB2312" w:hAnsi="黑体" w:eastAsia="仿宋_GB2312"/>
          <w:sz w:val="32"/>
          <w:szCs w:val="32"/>
          <w:lang w:eastAsia="zh-CN"/>
        </w:rPr>
        <w:t>；</w:t>
      </w:r>
    </w:p>
    <w:p>
      <w:pPr>
        <w:pStyle w:val="2"/>
        <w:keepNext w:val="0"/>
        <w:keepLines w:val="0"/>
        <w:pageBreakBefore w:val="0"/>
        <w:kinsoku/>
        <w:overflowPunct/>
        <w:topLinePunct w:val="0"/>
        <w:autoSpaceDE/>
        <w:autoSpaceDN/>
        <w:bidi w:val="0"/>
        <w:adjustRightInd/>
        <w:snapToGrid/>
        <w:spacing w:after="0" w:line="580" w:lineRule="exact"/>
        <w:ind w:firstLine="640" w:firstLineChars="200"/>
        <w:textAlignment w:val="auto"/>
        <w:rPr>
          <w:rFonts w:hint="eastAsia" w:ascii="仿宋_GB2312" w:hAnsi="黑体" w:eastAsia="仿宋_GB2312"/>
          <w:sz w:val="32"/>
          <w:szCs w:val="32"/>
          <w:lang w:eastAsia="zh-CN"/>
        </w:rPr>
      </w:pPr>
      <w:r>
        <w:rPr>
          <w:rFonts w:ascii="仿宋_GB2312" w:hAnsi="黑体" w:eastAsia="仿宋_GB2312"/>
          <w:sz w:val="32"/>
          <w:szCs w:val="32"/>
        </w:rPr>
        <w:t>（</w:t>
      </w:r>
      <w:r>
        <w:rPr>
          <w:rFonts w:hint="eastAsia" w:ascii="仿宋_GB2312" w:hAnsi="黑体" w:eastAsia="仿宋_GB2312"/>
          <w:sz w:val="32"/>
          <w:szCs w:val="32"/>
          <w:lang w:val="en-US" w:eastAsia="zh-CN"/>
        </w:rPr>
        <w:t>2</w:t>
      </w:r>
      <w:r>
        <w:rPr>
          <w:rFonts w:ascii="仿宋_GB2312" w:hAnsi="黑体" w:eastAsia="仿宋_GB2312"/>
          <w:sz w:val="32"/>
          <w:szCs w:val="32"/>
        </w:rPr>
        <w:t>）下载并上传经法定代表人</w:t>
      </w:r>
      <w:r>
        <w:rPr>
          <w:rFonts w:hint="eastAsia" w:ascii="仿宋_GB2312" w:hAnsi="黑体" w:eastAsia="仿宋_GB2312"/>
          <w:sz w:val="32"/>
          <w:szCs w:val="32"/>
          <w:lang w:val="en-US" w:eastAsia="zh-CN"/>
        </w:rPr>
        <w:t>签字并加盖企业公章</w:t>
      </w:r>
      <w:r>
        <w:rPr>
          <w:rFonts w:ascii="仿宋_GB2312" w:hAnsi="黑体" w:eastAsia="仿宋_GB2312"/>
          <w:sz w:val="32"/>
          <w:szCs w:val="32"/>
        </w:rPr>
        <w:t>的</w:t>
      </w:r>
      <w:r>
        <w:rPr>
          <w:rFonts w:hint="eastAsia" w:ascii="仿宋_GB2312" w:hAnsi="黑体" w:eastAsia="仿宋_GB2312"/>
          <w:sz w:val="32"/>
          <w:szCs w:val="32"/>
        </w:rPr>
        <w:t>《深圳市总部企业</w:t>
      </w:r>
      <w:r>
        <w:rPr>
          <w:rFonts w:hint="eastAsia" w:ascii="仿宋_GB2312" w:hAnsi="黑体" w:eastAsia="仿宋_GB2312"/>
          <w:sz w:val="32"/>
          <w:szCs w:val="32"/>
          <w:lang w:eastAsia="zh-CN"/>
        </w:rPr>
        <w:t>复核</w:t>
      </w:r>
      <w:r>
        <w:rPr>
          <w:rFonts w:hint="eastAsia" w:ascii="仿宋_GB2312" w:hAnsi="黑体" w:eastAsia="仿宋_GB2312"/>
          <w:sz w:val="32"/>
          <w:szCs w:val="32"/>
        </w:rPr>
        <w:t>申请表》</w:t>
      </w:r>
      <w:r>
        <w:rPr>
          <w:rFonts w:hint="eastAsia" w:ascii="仿宋_GB2312" w:hAnsi="黑体" w:eastAsia="仿宋_GB2312"/>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5"/>
        <w:textAlignment w:val="auto"/>
      </w:pPr>
      <w:r>
        <w:rPr>
          <w:rFonts w:hint="eastAsia" w:ascii="仿宋_GB2312" w:hAnsi="黑体" w:eastAsia="仿宋_GB2312"/>
          <w:sz w:val="32"/>
          <w:szCs w:val="32"/>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上传其他附件，</w:t>
      </w:r>
      <w:r>
        <w:rPr>
          <w:rFonts w:hint="eastAsia" w:ascii="仿宋_GB2312" w:hAnsi="黑体" w:eastAsia="仿宋_GB2312"/>
          <w:sz w:val="32"/>
          <w:szCs w:val="32"/>
        </w:rPr>
        <w:t>点击页面下方的“提交”按钮完成</w:t>
      </w:r>
      <w:r>
        <w:rPr>
          <w:rFonts w:hint="eastAsia" w:ascii="仿宋_GB2312" w:hAnsi="黑体" w:eastAsia="仿宋_GB2312"/>
          <w:sz w:val="32"/>
          <w:szCs w:val="32"/>
          <w:lang w:eastAsia="zh-CN"/>
        </w:rPr>
        <w:t>总部企业复核</w:t>
      </w:r>
      <w:r>
        <w:rPr>
          <w:rFonts w:hint="eastAsia" w:ascii="仿宋_GB2312" w:hAnsi="黑体" w:eastAsia="仿宋_GB2312"/>
          <w:sz w:val="32"/>
          <w:szCs w:val="32"/>
        </w:rPr>
        <w:t>申报。</w:t>
      </w:r>
    </w:p>
    <w:p>
      <w:pPr>
        <w:keepNext w:val="0"/>
        <w:keepLines w:val="0"/>
        <w:pageBreakBefore w:val="0"/>
        <w:widowControl/>
        <w:shd w:val="clear" w:color="auto" w:fill="FFFFFF"/>
        <w:kinsoku/>
        <w:wordWrap w:val="0"/>
        <w:overflowPunct/>
        <w:topLinePunct w:val="0"/>
        <w:autoSpaceDE/>
        <w:autoSpaceDN/>
        <w:bidi w:val="0"/>
        <w:adjustRightInd/>
        <w:snapToGrid/>
        <w:spacing w:line="58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四、其他</w:t>
      </w:r>
      <w:r>
        <w:rPr>
          <w:rFonts w:hint="eastAsia" w:ascii="黑体" w:hAnsi="黑体" w:eastAsia="黑体" w:cs="宋体"/>
          <w:color w:val="000000" w:themeColor="text1"/>
          <w:kern w:val="0"/>
          <w:sz w:val="32"/>
          <w:szCs w:val="32"/>
          <w:lang w:eastAsia="zh-CN"/>
          <w14:textFill>
            <w14:solidFill>
              <w14:schemeClr w14:val="tx1"/>
            </w14:solidFill>
          </w14:textFill>
        </w:rPr>
        <w:t>需说明的</w:t>
      </w:r>
      <w:r>
        <w:rPr>
          <w:rFonts w:hint="eastAsia" w:ascii="黑体" w:hAnsi="黑体" w:eastAsia="黑体" w:cs="宋体"/>
          <w:color w:val="000000" w:themeColor="text1"/>
          <w:kern w:val="0"/>
          <w:sz w:val="32"/>
          <w:szCs w:val="32"/>
          <w14:textFill>
            <w14:solidFill>
              <w14:schemeClr w14:val="tx1"/>
            </w14:solidFill>
          </w14:textFill>
        </w:rPr>
        <w:t>事项</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（一）关于总部企业统计核算范围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实施意见》规定，总部企业营业收入、地方财力以申报企业（含分支机构）及其能够并入财务报表且实际控制的本市企业（含分支机构）作为统计核算口径。总部企业持股大于等于50%的子公司，可直接纳入统计核算范围；总部企业持股小于50%的子公司，提供总部企业审计报告证明该子公司可并入总部企业财务报表，也可纳入统计核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纳入总部企业统计核算的下属子公司及分支机构名单不得随意变更，除上一年度新设立、新迁入、新控股子公司及分支机构等情形外，原则上不得增加子公司及分支机构；除上一年度新注销、新迁出、新退出控股等情形外，原则上不得删减子公司及分支机构。下属公司提出独立申请认定总部企业的除外。企业在系统中填报子公司名单信息后，需上传子公司名单变更情况及相关理由，加盖公章后扫描上传。</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（二）关于总部企业地方财力计算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形成地方财力按照纳税证明自缴税费中企业所得税40%留存，增值税(含出口货物增值税“免抵”税额调库)50%留存，城市维护建设税、印花税、地方教育附加、教育费附加、房产税、城镇土地使用税和文化事业建设费100%留存换算。《国家税务总局关于中国工商银行股份有限公司等企业企业所得税有关征管问题的通知》(国税函〔2010〕184号)中规定的国有邮政企业、中国工商银行股份有限公司等中央企业及分支机构企业所得税全额归属中央征管,不纳入地方财力计算。</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（三）关于总部企业认定门类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按照行业经济贡献认定的总部企业,以上一年度形成地方财力占比情况确定总部企业所属行业门类及认定标准。申报企业为银行机构、商业银行专营机构、银行市级分行、证券、基金机构的,按照《实施意见》中对应的行业标准予以认定；申报企业非上述机构且行业门类划分为金融业的,按照其他金融企业予以认定。申报企业为会计师事务所、律师事务所的，按照《实施意见》中对应的行业标准予以认定；申报企业非上述机构且行业门类划分为租赁和商务服务业的，按照其他租赁和商务服务业企业予以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总部企业及计入总部企业数据范围的子公司中,纳入我市上一年度战略性新兴产业和未来产业统计的企业主体形成地方财力,占总部企业整体地方财力的比例超过50%的，属于涉及本市战略性新兴产业和未来产业领域的总部企业。</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四</w:t>
      </w:r>
      <w:r>
        <w:rPr>
          <w:rFonts w:hint="eastAsia" w:ascii="楷体_GB2312" w:hAnsi="Times New Roman" w:eastAsia="楷体_GB2312" w:cs="Times New Roman"/>
          <w:sz w:val="32"/>
          <w:szCs w:val="32"/>
        </w:rPr>
        <w:t>）关于申报材料真实可靠原则</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申报企业对提交材料的真实性负责，以隐瞒真实情况、弄虚作假等行为获得总部企业资格或奖励补助的，</w:t>
      </w:r>
      <w:r>
        <w:rPr>
          <w:rFonts w:hint="eastAsia" w:ascii="仿宋_GB2312" w:hAnsi="仿宋_GB2312" w:eastAsia="仿宋_GB2312" w:cs="仿宋_GB2312"/>
          <w:sz w:val="32"/>
          <w:szCs w:val="32"/>
          <w:u w:val="none"/>
        </w:rPr>
        <w:t>停止享受相关奖励政策。</w:t>
      </w:r>
      <w:r>
        <w:rPr>
          <w:rFonts w:hint="eastAsia" w:ascii="仿宋_GB2312" w:hAnsi="仿宋_GB2312" w:eastAsia="仿宋_GB2312" w:cs="仿宋_GB2312"/>
          <w:sz w:val="32"/>
          <w:szCs w:val="32"/>
          <w:u w:val="none"/>
          <w:lang w:eastAsia="zh-CN"/>
        </w:rPr>
        <w:t>总部企业提交申请表时需签署《财政支持发展专项资金使用（资助）廉洁承诺书》。</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五</w:t>
      </w:r>
      <w:r>
        <w:rPr>
          <w:rFonts w:hint="eastAsia" w:ascii="楷体_GB2312" w:hAnsi="Times New Roman" w:eastAsia="楷体_GB2312" w:cs="Times New Roman"/>
          <w:sz w:val="32"/>
          <w:szCs w:val="32"/>
        </w:rPr>
        <w:t>）关于</w:t>
      </w:r>
      <w:r>
        <w:rPr>
          <w:rFonts w:hint="eastAsia" w:ascii="楷体_GB2312" w:hAnsi="Times New Roman" w:eastAsia="楷体_GB2312" w:cs="Times New Roman"/>
          <w:sz w:val="32"/>
          <w:szCs w:val="32"/>
          <w:lang w:eastAsia="zh-CN"/>
        </w:rPr>
        <w:t>有关材料主体情况</w:t>
      </w:r>
    </w:p>
    <w:p>
      <w:pPr>
        <w:ind w:firstLine="640" w:firstLineChars="200"/>
        <w:rPr>
          <w:rFonts w:hint="eastAsia"/>
          <w:lang w:eastAsia="zh-CN"/>
        </w:rPr>
      </w:pPr>
      <w:r>
        <w:rPr>
          <w:rFonts w:hint="eastAsia" w:ascii="仿宋_GB2312" w:hAnsi="微软雅黑" w:eastAsia="仿宋_GB2312" w:cs="宋体"/>
          <w:color w:val="000000" w:themeColor="text1"/>
          <w:kern w:val="0"/>
          <w:sz w:val="32"/>
          <w:szCs w:val="32"/>
          <w14:textFill>
            <w14:solidFill>
              <w14:schemeClr w14:val="tx1"/>
            </w14:solidFill>
          </w14:textFill>
        </w:rPr>
        <w:t>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所提供的有关材料上的企业名称对应的统一社会信用代码须与申报企业一致</w:t>
      </w:r>
      <w:r>
        <w:rPr>
          <w:rFonts w:hint="eastAsia" w:ascii="仿宋_GB2312" w:hAnsi="微软雅黑" w:eastAsia="仿宋_GB2312" w:cs="宋体"/>
          <w:color w:val="000000" w:themeColor="text1"/>
          <w:kern w:val="0"/>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六</w:t>
      </w:r>
      <w:r>
        <w:rPr>
          <w:rFonts w:hint="eastAsia" w:ascii="楷体_GB2312" w:hAnsi="Times New Roman" w:eastAsia="楷体_GB2312" w:cs="Times New Roman"/>
          <w:sz w:val="32"/>
          <w:szCs w:val="32"/>
        </w:rPr>
        <w:t>）关于</w:t>
      </w:r>
      <w:r>
        <w:rPr>
          <w:rFonts w:hint="eastAsia" w:ascii="楷体_GB2312" w:hAnsi="Times New Roman" w:eastAsia="楷体_GB2312" w:cs="Times New Roman"/>
          <w:sz w:val="32"/>
          <w:szCs w:val="32"/>
          <w:lang w:eastAsia="zh-CN"/>
        </w:rPr>
        <w:t>企业信用</w:t>
      </w:r>
    </w:p>
    <w:p>
      <w:pPr>
        <w:ind w:firstLine="640" w:firstLineChars="200"/>
      </w:pPr>
      <w:r>
        <w:rPr>
          <w:rFonts w:hint="eastAsia" w:ascii="仿宋_GB2312" w:hAnsi="微软雅黑" w:eastAsia="仿宋_GB2312" w:cs="宋体"/>
          <w:color w:val="000000" w:themeColor="text1"/>
          <w:kern w:val="0"/>
          <w:sz w:val="32"/>
          <w:szCs w:val="32"/>
          <w14:textFill>
            <w14:solidFill>
              <w14:schemeClr w14:val="tx1"/>
            </w14:solidFill>
          </w14:textFill>
        </w:rPr>
        <w:t>申报企业</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被纳入失</w:t>
      </w:r>
      <w:bookmarkStart w:id="0" w:name="_GoBack"/>
      <w:bookmarkEnd w:id="0"/>
      <w:r>
        <w:rPr>
          <w:rFonts w:hint="eastAsia" w:ascii="仿宋_GB2312" w:hAnsi="微软雅黑" w:eastAsia="仿宋_GB2312" w:cs="宋体"/>
          <w:color w:val="000000" w:themeColor="text1"/>
          <w:kern w:val="0"/>
          <w:sz w:val="32"/>
          <w:szCs w:val="32"/>
          <w:lang w:eastAsia="zh-CN"/>
          <w14:textFill>
            <w14:solidFill>
              <w14:schemeClr w14:val="tx1"/>
            </w14:solidFill>
          </w14:textFill>
        </w:rPr>
        <w:t>信联合惩戒对象范围的，依法限制参与政府资金扶持。严重失信主体名单以深圳信用网查询的失信惩戒结果为准。</w:t>
      </w:r>
    </w:p>
    <w:p>
      <w:pPr>
        <w:keepNext w:val="0"/>
        <w:keepLines w:val="0"/>
        <w:pageBreakBefore w:val="0"/>
        <w:kinsoku/>
        <w:overflowPunct/>
        <w:topLinePunct w:val="0"/>
        <w:autoSpaceDE/>
        <w:autoSpaceDN/>
        <w:bidi w:val="0"/>
        <w:adjustRightInd/>
        <w:snapToGrid/>
        <w:spacing w:line="580" w:lineRule="exact"/>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cyYzU3N2Y1NmQ5ZGM3MmY5ZjU0Yzg0ZGU5MWMifQ=="/>
  </w:docVars>
  <w:rsids>
    <w:rsidRoot w:val="00000000"/>
    <w:rsid w:val="00675B45"/>
    <w:rsid w:val="00B45A95"/>
    <w:rsid w:val="016E1466"/>
    <w:rsid w:val="021A660F"/>
    <w:rsid w:val="02751302"/>
    <w:rsid w:val="02C3276F"/>
    <w:rsid w:val="02C90FD2"/>
    <w:rsid w:val="0384470F"/>
    <w:rsid w:val="03C230FA"/>
    <w:rsid w:val="043F1BC6"/>
    <w:rsid w:val="04402271"/>
    <w:rsid w:val="04A967B2"/>
    <w:rsid w:val="06500FEE"/>
    <w:rsid w:val="066014C0"/>
    <w:rsid w:val="06AE5E2E"/>
    <w:rsid w:val="06D27E1E"/>
    <w:rsid w:val="07A55AAE"/>
    <w:rsid w:val="07C81ECE"/>
    <w:rsid w:val="07F99603"/>
    <w:rsid w:val="08593927"/>
    <w:rsid w:val="08601463"/>
    <w:rsid w:val="08C64DE7"/>
    <w:rsid w:val="09067367"/>
    <w:rsid w:val="097837B5"/>
    <w:rsid w:val="09DC3548"/>
    <w:rsid w:val="0A402FCB"/>
    <w:rsid w:val="0A895542"/>
    <w:rsid w:val="0A9325E8"/>
    <w:rsid w:val="0B713C52"/>
    <w:rsid w:val="0B8226BC"/>
    <w:rsid w:val="0B8B5C9A"/>
    <w:rsid w:val="0B9D61FB"/>
    <w:rsid w:val="0BB81999"/>
    <w:rsid w:val="0BBC5672"/>
    <w:rsid w:val="0C540CDE"/>
    <w:rsid w:val="0CDA3A24"/>
    <w:rsid w:val="0D0A78C0"/>
    <w:rsid w:val="0D194E87"/>
    <w:rsid w:val="0D2E7C27"/>
    <w:rsid w:val="0D5D0E04"/>
    <w:rsid w:val="0D7A0232"/>
    <w:rsid w:val="0DE3521B"/>
    <w:rsid w:val="0E3A75DE"/>
    <w:rsid w:val="0E43308A"/>
    <w:rsid w:val="0E956D7D"/>
    <w:rsid w:val="0EB82FB2"/>
    <w:rsid w:val="0EBD48B8"/>
    <w:rsid w:val="0F6F0C5E"/>
    <w:rsid w:val="0F9C6EB6"/>
    <w:rsid w:val="100062A2"/>
    <w:rsid w:val="101F3682"/>
    <w:rsid w:val="109E0A4B"/>
    <w:rsid w:val="10D11C56"/>
    <w:rsid w:val="1126437E"/>
    <w:rsid w:val="11677474"/>
    <w:rsid w:val="119C062D"/>
    <w:rsid w:val="125569EC"/>
    <w:rsid w:val="1269221F"/>
    <w:rsid w:val="12DF4FB4"/>
    <w:rsid w:val="12FC1D69"/>
    <w:rsid w:val="134316F8"/>
    <w:rsid w:val="134417DE"/>
    <w:rsid w:val="13787179"/>
    <w:rsid w:val="13972D3A"/>
    <w:rsid w:val="143F577A"/>
    <w:rsid w:val="146A2C4A"/>
    <w:rsid w:val="14983004"/>
    <w:rsid w:val="16011E64"/>
    <w:rsid w:val="16114473"/>
    <w:rsid w:val="16B03286"/>
    <w:rsid w:val="17345C65"/>
    <w:rsid w:val="17D22D25"/>
    <w:rsid w:val="187B326D"/>
    <w:rsid w:val="18D56A14"/>
    <w:rsid w:val="1A35310B"/>
    <w:rsid w:val="1A4C2831"/>
    <w:rsid w:val="1A763417"/>
    <w:rsid w:val="1A8A1D26"/>
    <w:rsid w:val="1C3C4681"/>
    <w:rsid w:val="1D15592B"/>
    <w:rsid w:val="1DAF4298"/>
    <w:rsid w:val="1DC61E2C"/>
    <w:rsid w:val="1DDA1936"/>
    <w:rsid w:val="1E120D39"/>
    <w:rsid w:val="1EEE0DF0"/>
    <w:rsid w:val="1EF65C58"/>
    <w:rsid w:val="1F446C62"/>
    <w:rsid w:val="1FAC1EBB"/>
    <w:rsid w:val="1FD91362"/>
    <w:rsid w:val="20FF447A"/>
    <w:rsid w:val="225238B7"/>
    <w:rsid w:val="22893C21"/>
    <w:rsid w:val="22A851DD"/>
    <w:rsid w:val="23083B45"/>
    <w:rsid w:val="233078B3"/>
    <w:rsid w:val="237C17FF"/>
    <w:rsid w:val="23D00959"/>
    <w:rsid w:val="24515490"/>
    <w:rsid w:val="24766999"/>
    <w:rsid w:val="24A87F5C"/>
    <w:rsid w:val="24C14149"/>
    <w:rsid w:val="251A104A"/>
    <w:rsid w:val="254C33D8"/>
    <w:rsid w:val="256655D2"/>
    <w:rsid w:val="25803A5A"/>
    <w:rsid w:val="25C042C6"/>
    <w:rsid w:val="25CC66E0"/>
    <w:rsid w:val="26286AC3"/>
    <w:rsid w:val="2663162B"/>
    <w:rsid w:val="26EE4178"/>
    <w:rsid w:val="273167D4"/>
    <w:rsid w:val="28002CB3"/>
    <w:rsid w:val="2866205D"/>
    <w:rsid w:val="288A0397"/>
    <w:rsid w:val="28C52BC1"/>
    <w:rsid w:val="29690343"/>
    <w:rsid w:val="2AFC2AE6"/>
    <w:rsid w:val="2B013EA3"/>
    <w:rsid w:val="2B156E61"/>
    <w:rsid w:val="2B7E13D1"/>
    <w:rsid w:val="2BB135DD"/>
    <w:rsid w:val="2BD51C95"/>
    <w:rsid w:val="2BD96BB3"/>
    <w:rsid w:val="2C431555"/>
    <w:rsid w:val="2C5A56CC"/>
    <w:rsid w:val="2CFE32B6"/>
    <w:rsid w:val="2D16A656"/>
    <w:rsid w:val="2D5125F4"/>
    <w:rsid w:val="2D604FE2"/>
    <w:rsid w:val="2E3A29D0"/>
    <w:rsid w:val="2EBD2F00"/>
    <w:rsid w:val="2EDDECE3"/>
    <w:rsid w:val="2F432C02"/>
    <w:rsid w:val="2F536004"/>
    <w:rsid w:val="2FF7E783"/>
    <w:rsid w:val="30991954"/>
    <w:rsid w:val="310C0E34"/>
    <w:rsid w:val="312B0CA8"/>
    <w:rsid w:val="312D2530"/>
    <w:rsid w:val="31771EC9"/>
    <w:rsid w:val="31CB3B13"/>
    <w:rsid w:val="326B2C83"/>
    <w:rsid w:val="327F2033"/>
    <w:rsid w:val="33325483"/>
    <w:rsid w:val="3340738A"/>
    <w:rsid w:val="344044E5"/>
    <w:rsid w:val="34AA6657"/>
    <w:rsid w:val="34BE00FC"/>
    <w:rsid w:val="350A77B2"/>
    <w:rsid w:val="35480330"/>
    <w:rsid w:val="35722569"/>
    <w:rsid w:val="36AB631F"/>
    <w:rsid w:val="37CB0355"/>
    <w:rsid w:val="381D6FBF"/>
    <w:rsid w:val="38341B11"/>
    <w:rsid w:val="38CC3C92"/>
    <w:rsid w:val="396A7075"/>
    <w:rsid w:val="39CC56C5"/>
    <w:rsid w:val="39F96E2B"/>
    <w:rsid w:val="3A0D07EF"/>
    <w:rsid w:val="3A2273CA"/>
    <w:rsid w:val="3B654D8A"/>
    <w:rsid w:val="3B8607D7"/>
    <w:rsid w:val="3B8D437E"/>
    <w:rsid w:val="3BEF46E9"/>
    <w:rsid w:val="3C98383F"/>
    <w:rsid w:val="3CC724AD"/>
    <w:rsid w:val="3E2D4B5D"/>
    <w:rsid w:val="3E366B4D"/>
    <w:rsid w:val="3E5A6570"/>
    <w:rsid w:val="3ECA5064"/>
    <w:rsid w:val="3EE66433"/>
    <w:rsid w:val="3EEA4548"/>
    <w:rsid w:val="3F224EEC"/>
    <w:rsid w:val="3F2E207D"/>
    <w:rsid w:val="3F5248DF"/>
    <w:rsid w:val="3F5973C1"/>
    <w:rsid w:val="3F920942"/>
    <w:rsid w:val="3FF51806"/>
    <w:rsid w:val="40CE07BB"/>
    <w:rsid w:val="413E1696"/>
    <w:rsid w:val="417916CE"/>
    <w:rsid w:val="41B00AC1"/>
    <w:rsid w:val="428522FB"/>
    <w:rsid w:val="42C01288"/>
    <w:rsid w:val="43B5750E"/>
    <w:rsid w:val="43B91878"/>
    <w:rsid w:val="43CF336E"/>
    <w:rsid w:val="44DF4BB3"/>
    <w:rsid w:val="4561381A"/>
    <w:rsid w:val="457C1F8A"/>
    <w:rsid w:val="46226BED"/>
    <w:rsid w:val="463E1F00"/>
    <w:rsid w:val="468B6859"/>
    <w:rsid w:val="46C83576"/>
    <w:rsid w:val="470B124E"/>
    <w:rsid w:val="47143894"/>
    <w:rsid w:val="47330D5C"/>
    <w:rsid w:val="475E1219"/>
    <w:rsid w:val="47956F65"/>
    <w:rsid w:val="486D4F7C"/>
    <w:rsid w:val="49044BCF"/>
    <w:rsid w:val="4AD7419C"/>
    <w:rsid w:val="4B960527"/>
    <w:rsid w:val="4B9C55AC"/>
    <w:rsid w:val="4C723FB8"/>
    <w:rsid w:val="4CB21968"/>
    <w:rsid w:val="4CE271CC"/>
    <w:rsid w:val="4D0D53DE"/>
    <w:rsid w:val="4D3F2693"/>
    <w:rsid w:val="4D6F78D0"/>
    <w:rsid w:val="4DAE9847"/>
    <w:rsid w:val="4DF30DF0"/>
    <w:rsid w:val="4DFFAD47"/>
    <w:rsid w:val="4F595E7C"/>
    <w:rsid w:val="4F9C3DCC"/>
    <w:rsid w:val="4FBE61B2"/>
    <w:rsid w:val="4FFD665F"/>
    <w:rsid w:val="50BA69FA"/>
    <w:rsid w:val="51764AF1"/>
    <w:rsid w:val="51BB243F"/>
    <w:rsid w:val="51E657D3"/>
    <w:rsid w:val="53101747"/>
    <w:rsid w:val="53EE66F6"/>
    <w:rsid w:val="54A31AA6"/>
    <w:rsid w:val="54EB23FD"/>
    <w:rsid w:val="54FC2F34"/>
    <w:rsid w:val="55107709"/>
    <w:rsid w:val="562B7413"/>
    <w:rsid w:val="56D0395E"/>
    <w:rsid w:val="57BD07AF"/>
    <w:rsid w:val="57D20387"/>
    <w:rsid w:val="57D263AF"/>
    <w:rsid w:val="58013AEE"/>
    <w:rsid w:val="581666E6"/>
    <w:rsid w:val="58CC7041"/>
    <w:rsid w:val="58F01654"/>
    <w:rsid w:val="59110A0B"/>
    <w:rsid w:val="59200A85"/>
    <w:rsid w:val="5A5628FD"/>
    <w:rsid w:val="5BB94D66"/>
    <w:rsid w:val="5BC621D1"/>
    <w:rsid w:val="5C0C7660"/>
    <w:rsid w:val="5C176165"/>
    <w:rsid w:val="5C8D1019"/>
    <w:rsid w:val="5CE528D0"/>
    <w:rsid w:val="5DDC0491"/>
    <w:rsid w:val="5E2E6A5D"/>
    <w:rsid w:val="5EC1112E"/>
    <w:rsid w:val="5F3A2B90"/>
    <w:rsid w:val="5FDE1FEB"/>
    <w:rsid w:val="60F15789"/>
    <w:rsid w:val="615B2086"/>
    <w:rsid w:val="61D85518"/>
    <w:rsid w:val="61E04366"/>
    <w:rsid w:val="62070D2C"/>
    <w:rsid w:val="6212629B"/>
    <w:rsid w:val="622C10B4"/>
    <w:rsid w:val="624C6651"/>
    <w:rsid w:val="62C2551A"/>
    <w:rsid w:val="62E945BE"/>
    <w:rsid w:val="63480134"/>
    <w:rsid w:val="63BF6CAD"/>
    <w:rsid w:val="63EE64D8"/>
    <w:rsid w:val="63FFE4DA"/>
    <w:rsid w:val="644F259F"/>
    <w:rsid w:val="645C18B4"/>
    <w:rsid w:val="64996C4B"/>
    <w:rsid w:val="64B60EFB"/>
    <w:rsid w:val="65BC1624"/>
    <w:rsid w:val="66BC7B73"/>
    <w:rsid w:val="66E877F4"/>
    <w:rsid w:val="672213DC"/>
    <w:rsid w:val="672E4684"/>
    <w:rsid w:val="6741435C"/>
    <w:rsid w:val="67A90CD9"/>
    <w:rsid w:val="695560FB"/>
    <w:rsid w:val="6993013A"/>
    <w:rsid w:val="69F06D97"/>
    <w:rsid w:val="69FBCA75"/>
    <w:rsid w:val="6A4A3091"/>
    <w:rsid w:val="6A986F4D"/>
    <w:rsid w:val="6AF62990"/>
    <w:rsid w:val="6AF6738E"/>
    <w:rsid w:val="6B082BE6"/>
    <w:rsid w:val="6B3E4ADE"/>
    <w:rsid w:val="6BC05D75"/>
    <w:rsid w:val="6C3E4E5E"/>
    <w:rsid w:val="6C3FB19F"/>
    <w:rsid w:val="6CD24E7A"/>
    <w:rsid w:val="6CFBE0B1"/>
    <w:rsid w:val="6D082739"/>
    <w:rsid w:val="6D3A7263"/>
    <w:rsid w:val="6D4D5D17"/>
    <w:rsid w:val="6DC70C38"/>
    <w:rsid w:val="6DFFC0D3"/>
    <w:rsid w:val="6DFFF79C"/>
    <w:rsid w:val="6EA105D6"/>
    <w:rsid w:val="6ECE2D2B"/>
    <w:rsid w:val="6F1F3685"/>
    <w:rsid w:val="6F637FE2"/>
    <w:rsid w:val="6F661E4F"/>
    <w:rsid w:val="6F6832A2"/>
    <w:rsid w:val="6F68721C"/>
    <w:rsid w:val="6F7B803D"/>
    <w:rsid w:val="6F7C1890"/>
    <w:rsid w:val="6FB2FEFE"/>
    <w:rsid w:val="6FBEA8B3"/>
    <w:rsid w:val="6FDF610B"/>
    <w:rsid w:val="6FFF20D7"/>
    <w:rsid w:val="70684E18"/>
    <w:rsid w:val="709F7DD6"/>
    <w:rsid w:val="71B24BD3"/>
    <w:rsid w:val="71FA780D"/>
    <w:rsid w:val="72255A67"/>
    <w:rsid w:val="72285609"/>
    <w:rsid w:val="724A7260"/>
    <w:rsid w:val="724D0E5B"/>
    <w:rsid w:val="725B146D"/>
    <w:rsid w:val="72DB4467"/>
    <w:rsid w:val="734D1C1A"/>
    <w:rsid w:val="737BDD6C"/>
    <w:rsid w:val="73CE5093"/>
    <w:rsid w:val="73DB677D"/>
    <w:rsid w:val="73F350B3"/>
    <w:rsid w:val="74650381"/>
    <w:rsid w:val="746F0A12"/>
    <w:rsid w:val="74AB1CED"/>
    <w:rsid w:val="74B574A1"/>
    <w:rsid w:val="75571CDF"/>
    <w:rsid w:val="755C724E"/>
    <w:rsid w:val="759B31B2"/>
    <w:rsid w:val="75B7716B"/>
    <w:rsid w:val="77162EED"/>
    <w:rsid w:val="77170A7A"/>
    <w:rsid w:val="771DAACC"/>
    <w:rsid w:val="77735527"/>
    <w:rsid w:val="777C7E40"/>
    <w:rsid w:val="77BF1EF7"/>
    <w:rsid w:val="77BF3756"/>
    <w:rsid w:val="77F3EB71"/>
    <w:rsid w:val="783764D9"/>
    <w:rsid w:val="793828A9"/>
    <w:rsid w:val="7971090F"/>
    <w:rsid w:val="79983365"/>
    <w:rsid w:val="799B65F3"/>
    <w:rsid w:val="79CD1139"/>
    <w:rsid w:val="7A723779"/>
    <w:rsid w:val="7AB636E5"/>
    <w:rsid w:val="7AF77740"/>
    <w:rsid w:val="7B0E4D3F"/>
    <w:rsid w:val="7B3E68E9"/>
    <w:rsid w:val="7D250B4D"/>
    <w:rsid w:val="7D766C7A"/>
    <w:rsid w:val="7D7C2B18"/>
    <w:rsid w:val="7D7FE5F4"/>
    <w:rsid w:val="7DAF2347"/>
    <w:rsid w:val="7DD26C84"/>
    <w:rsid w:val="7DEC8F7D"/>
    <w:rsid w:val="7E474539"/>
    <w:rsid w:val="7E9675D6"/>
    <w:rsid w:val="7FBD397A"/>
    <w:rsid w:val="7FBF6438"/>
    <w:rsid w:val="7FF67980"/>
    <w:rsid w:val="7FF9A675"/>
    <w:rsid w:val="7FFD08AE"/>
    <w:rsid w:val="7FFFD175"/>
    <w:rsid w:val="979A7FF4"/>
    <w:rsid w:val="AB7B4BB4"/>
    <w:rsid w:val="ADFE7CAB"/>
    <w:rsid w:val="AE5B5427"/>
    <w:rsid w:val="AFFDE367"/>
    <w:rsid w:val="BBFBC847"/>
    <w:rsid w:val="BD77192D"/>
    <w:rsid w:val="BE2FC662"/>
    <w:rsid w:val="BEFF8F49"/>
    <w:rsid w:val="BF5E70D5"/>
    <w:rsid w:val="BF9F1212"/>
    <w:rsid w:val="BFCAF46A"/>
    <w:rsid w:val="CEFDB0DC"/>
    <w:rsid w:val="D75DAD69"/>
    <w:rsid w:val="D7EEDE02"/>
    <w:rsid w:val="DBE30554"/>
    <w:rsid w:val="DD5F86C6"/>
    <w:rsid w:val="DDBDC381"/>
    <w:rsid w:val="DEFE0438"/>
    <w:rsid w:val="DFF506DE"/>
    <w:rsid w:val="E7DF2875"/>
    <w:rsid w:val="E7FD8DC2"/>
    <w:rsid w:val="ED7FD39B"/>
    <w:rsid w:val="EF3F645F"/>
    <w:rsid w:val="EFBFFAC8"/>
    <w:rsid w:val="EFFF3302"/>
    <w:rsid w:val="F1CC4414"/>
    <w:rsid w:val="F1EFD0C8"/>
    <w:rsid w:val="F5756F44"/>
    <w:rsid w:val="FAE7A05B"/>
    <w:rsid w:val="FBA95F3A"/>
    <w:rsid w:val="FBAFFFA4"/>
    <w:rsid w:val="FBB3C340"/>
    <w:rsid w:val="FBE789BA"/>
    <w:rsid w:val="FC73B325"/>
    <w:rsid w:val="FDEF69A2"/>
    <w:rsid w:val="FE7C2A34"/>
    <w:rsid w:val="FEFD30D0"/>
    <w:rsid w:val="FEFE1F30"/>
    <w:rsid w:val="FFDF39BB"/>
    <w:rsid w:val="FFDFC644"/>
    <w:rsid w:val="FFEF28DB"/>
    <w:rsid w:val="FFEF3ABE"/>
    <w:rsid w:val="FFFB1FD5"/>
    <w:rsid w:val="FFFFA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2023-11-21T02:42:00Z</dcterms:created>
  <dc:creator>SZDRC</dc:creator>
  <cp:lastModifiedBy>徐博</cp:lastModifiedBy>
  <cp:lastPrinted>2025-09-07T11:11:27Z</cp:lastPrinted>
  <dcterms:modified xsi:type="dcterms:W3CDTF">2025-09-07T11:36:07Z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AA0B86AB5A4447968707331E317D3AB8_13</vt:lpwstr>
  </property>
</Properties>
</file>