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8EEBF">
      <w:pPr>
        <w:adjustRightInd w:val="0"/>
        <w:snapToGrid w:val="0"/>
        <w:ind w:left="420" w:leftChars="200"/>
        <w:jc w:val="center"/>
        <w:rPr>
          <w:rFonts w:ascii="宋体" w:hAnsi="宋体" w:cs="Arial"/>
          <w:b/>
          <w:bCs/>
          <w:sz w:val="44"/>
          <w:szCs w:val="44"/>
        </w:rPr>
      </w:pPr>
      <w:bookmarkStart w:id="0" w:name="_GoBack"/>
    </w:p>
    <w:p w14:paraId="7AC451AD">
      <w:pPr>
        <w:adjustRightInd w:val="0"/>
        <w:snapToGrid w:val="0"/>
        <w:ind w:left="420" w:leftChars="200"/>
        <w:jc w:val="center"/>
        <w:rPr>
          <w:rFonts w:hint="eastAsia" w:ascii="宋体" w:hAnsi="宋体" w:cs="Arial"/>
          <w:b/>
          <w:bCs/>
          <w:sz w:val="52"/>
          <w:szCs w:val="52"/>
        </w:rPr>
      </w:pPr>
      <w:r>
        <w:rPr>
          <w:rFonts w:hint="eastAsia" w:ascii="宋体" w:hAnsi="宋体" w:cs="Arial"/>
          <w:b/>
          <w:bCs/>
          <w:sz w:val="52"/>
          <w:szCs w:val="52"/>
        </w:rPr>
        <w:t>深圳市重大科研平台制度体系设计和大型科研仪器自主攻关</w:t>
      </w:r>
    </w:p>
    <w:p w14:paraId="3DDBFF10">
      <w:pPr>
        <w:adjustRightInd w:val="0"/>
        <w:snapToGrid w:val="0"/>
        <w:ind w:left="420" w:leftChars="200"/>
        <w:jc w:val="center"/>
        <w:rPr>
          <w:rFonts w:hint="eastAsia" w:ascii="宋体" w:hAnsi="宋体" w:eastAsia="宋体" w:cs="Arial"/>
          <w:b/>
          <w:bCs/>
          <w:sz w:val="44"/>
          <w:szCs w:val="44"/>
          <w:lang w:eastAsia="zh-CN"/>
        </w:rPr>
      </w:pPr>
      <w:r>
        <w:rPr>
          <w:rFonts w:hint="eastAsia" w:ascii="宋体" w:hAnsi="宋体" w:cs="Arial"/>
          <w:b/>
          <w:bCs/>
          <w:sz w:val="52"/>
          <w:szCs w:val="52"/>
        </w:rPr>
        <w:t>项目谋划</w:t>
      </w:r>
      <w:r>
        <w:rPr>
          <w:rFonts w:hint="eastAsia" w:ascii="宋体" w:hAnsi="宋体" w:cs="Arial"/>
          <w:b/>
          <w:bCs/>
          <w:sz w:val="52"/>
          <w:szCs w:val="52"/>
          <w:lang w:val="en-US" w:eastAsia="zh-CN"/>
        </w:rPr>
        <w:t>预研项目</w:t>
      </w:r>
    </w:p>
    <w:p w14:paraId="0947285C">
      <w:pPr>
        <w:spacing w:line="360" w:lineRule="auto"/>
        <w:ind w:left="0" w:leftChars="0"/>
        <w:jc w:val="both"/>
        <w:rPr>
          <w:rFonts w:ascii="黑体" w:hAnsi="宋体" w:eastAsia="黑体"/>
          <w:b/>
          <w:bCs/>
          <w:sz w:val="32"/>
          <w:szCs w:val="32"/>
        </w:rPr>
      </w:pPr>
    </w:p>
    <w:p w14:paraId="425D2ABF">
      <w:pPr>
        <w:spacing w:line="360" w:lineRule="auto"/>
        <w:ind w:left="420" w:leftChars="200"/>
        <w:jc w:val="center"/>
        <w:rPr>
          <w:rFonts w:ascii="黑体" w:hAnsi="宋体" w:eastAsia="黑体"/>
          <w:b/>
          <w:bCs/>
          <w:sz w:val="32"/>
          <w:szCs w:val="32"/>
        </w:rPr>
      </w:pPr>
    </w:p>
    <w:p w14:paraId="7B1AE13D">
      <w:pPr>
        <w:spacing w:before="156" w:beforeLines="50" w:after="156" w:afterLines="50" w:line="360" w:lineRule="auto"/>
        <w:jc w:val="center"/>
        <w:rPr>
          <w:rFonts w:ascii="黑体" w:hAnsi="宋体" w:eastAsia="黑体"/>
          <w:b/>
          <w:bCs/>
          <w:sz w:val="72"/>
          <w:szCs w:val="72"/>
        </w:rPr>
      </w:pPr>
      <w:r>
        <w:rPr>
          <w:rFonts w:hint="eastAsia" w:ascii="黑体" w:hAnsi="黑体" w:eastAsia="黑体"/>
          <w:b/>
          <w:bCs/>
          <w:sz w:val="72"/>
          <w:szCs w:val="72"/>
        </w:rPr>
        <w:t>招</w:t>
      </w:r>
    </w:p>
    <w:p w14:paraId="3A09F11D">
      <w:pPr>
        <w:spacing w:before="156" w:beforeLines="50" w:after="156" w:afterLines="50" w:line="360" w:lineRule="auto"/>
        <w:jc w:val="center"/>
        <w:rPr>
          <w:rFonts w:ascii="黑体" w:hAnsi="宋体" w:eastAsia="黑体"/>
          <w:b/>
          <w:bCs/>
          <w:sz w:val="72"/>
          <w:szCs w:val="72"/>
        </w:rPr>
      </w:pPr>
    </w:p>
    <w:p w14:paraId="5F28EFB7">
      <w:pPr>
        <w:spacing w:before="156" w:beforeLines="50" w:after="156" w:afterLines="50" w:line="360" w:lineRule="auto"/>
        <w:jc w:val="center"/>
        <w:rPr>
          <w:rFonts w:ascii="黑体" w:hAnsi="宋体" w:eastAsia="黑体"/>
          <w:b/>
          <w:bCs/>
          <w:sz w:val="72"/>
          <w:szCs w:val="72"/>
        </w:rPr>
      </w:pPr>
      <w:r>
        <w:rPr>
          <w:rFonts w:hint="eastAsia" w:ascii="黑体" w:hAnsi="黑体" w:eastAsia="黑体"/>
          <w:b/>
          <w:bCs/>
          <w:sz w:val="72"/>
          <w:szCs w:val="72"/>
        </w:rPr>
        <w:t>标</w:t>
      </w:r>
    </w:p>
    <w:p w14:paraId="7E70BCD4">
      <w:pPr>
        <w:spacing w:before="156" w:beforeLines="50" w:after="156" w:afterLines="50" w:line="360" w:lineRule="auto"/>
        <w:jc w:val="center"/>
        <w:rPr>
          <w:rFonts w:ascii="黑体" w:hAnsi="宋体" w:eastAsia="黑体"/>
          <w:b/>
          <w:bCs/>
          <w:sz w:val="48"/>
          <w:szCs w:val="48"/>
        </w:rPr>
      </w:pPr>
    </w:p>
    <w:p w14:paraId="7A220801">
      <w:pPr>
        <w:spacing w:before="156" w:beforeLines="50" w:after="156" w:afterLines="50" w:line="360" w:lineRule="auto"/>
        <w:jc w:val="center"/>
        <w:rPr>
          <w:rFonts w:ascii="黑体" w:hAnsi="宋体" w:eastAsia="黑体"/>
          <w:b/>
          <w:bCs/>
          <w:sz w:val="72"/>
          <w:szCs w:val="72"/>
        </w:rPr>
      </w:pPr>
      <w:r>
        <w:rPr>
          <w:rFonts w:hint="eastAsia" w:ascii="黑体" w:hAnsi="黑体" w:eastAsia="黑体"/>
          <w:b/>
          <w:bCs/>
          <w:sz w:val="72"/>
          <w:szCs w:val="72"/>
        </w:rPr>
        <w:t>书</w:t>
      </w:r>
    </w:p>
    <w:bookmarkEnd w:id="0"/>
    <w:p w14:paraId="2A941AB1">
      <w:pPr>
        <w:spacing w:line="360" w:lineRule="auto"/>
        <w:ind w:left="0" w:leftChars="0"/>
        <w:jc w:val="both"/>
        <w:rPr>
          <w:rFonts w:ascii="方正小标宋简体" w:hAnsi="宋体" w:cs="Arial"/>
          <w:sz w:val="48"/>
          <w:szCs w:val="48"/>
        </w:rPr>
      </w:pPr>
    </w:p>
    <w:p w14:paraId="7F0D9BF9">
      <w:pPr>
        <w:spacing w:line="600" w:lineRule="exact"/>
        <w:jc w:val="center"/>
        <w:rPr>
          <w:rFonts w:ascii="宋体" w:hAnsi="宋体"/>
          <w:b/>
          <w:bCs/>
          <w:sz w:val="32"/>
          <w:szCs w:val="32"/>
        </w:rPr>
      </w:pPr>
      <w:r>
        <w:rPr>
          <w:rFonts w:hint="eastAsia" w:ascii="宋体" w:hAnsi="宋体"/>
          <w:b/>
          <w:bCs/>
          <w:sz w:val="32"/>
          <w:szCs w:val="32"/>
        </w:rPr>
        <w:t>深圳市发展和改革委员会</w:t>
      </w:r>
    </w:p>
    <w:p w14:paraId="4B84382B">
      <w:pPr>
        <w:spacing w:line="60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p>
    <w:p w14:paraId="0DBE511C">
      <w:pPr>
        <w:widowControl/>
        <w:jc w:val="left"/>
        <w:rPr>
          <w:rFonts w:ascii="宋体" w:hAnsi="宋体" w:cs="宋体"/>
          <w:b/>
          <w:bCs/>
          <w:sz w:val="44"/>
          <w:szCs w:val="44"/>
        </w:rPr>
        <w:sectPr>
          <w:pgSz w:w="11906" w:h="16838"/>
          <w:pgMar w:top="1400" w:right="1797" w:bottom="1089" w:left="1797" w:header="720" w:footer="720" w:gutter="0"/>
          <w:cols w:space="720" w:num="1"/>
          <w:docGrid w:type="lines" w:linePitch="312" w:charSpace="0"/>
        </w:sectPr>
      </w:pPr>
    </w:p>
    <w:p w14:paraId="0C08C48E">
      <w:pPr>
        <w:adjustRightInd w:val="0"/>
        <w:snapToGrid w:val="0"/>
        <w:jc w:val="center"/>
        <w:rPr>
          <w:rFonts w:ascii="宋体" w:hAnsi="宋体" w:cs="Arial"/>
          <w:b/>
          <w:bCs/>
          <w:sz w:val="44"/>
          <w:szCs w:val="44"/>
        </w:rPr>
      </w:pPr>
    </w:p>
    <w:p w14:paraId="170C514B">
      <w:pPr>
        <w:adjustRightInd w:val="0"/>
        <w:snapToGrid w:val="0"/>
        <w:jc w:val="center"/>
        <w:rPr>
          <w:rFonts w:hint="eastAsia" w:ascii="宋体" w:hAnsi="宋体" w:cs="Arial"/>
          <w:b/>
          <w:bCs/>
          <w:sz w:val="44"/>
          <w:szCs w:val="44"/>
        </w:rPr>
      </w:pPr>
      <w:r>
        <w:rPr>
          <w:rFonts w:hint="eastAsia" w:ascii="宋体" w:hAnsi="宋体" w:cs="Arial"/>
          <w:b/>
          <w:bCs/>
          <w:sz w:val="44"/>
          <w:szCs w:val="44"/>
        </w:rPr>
        <w:t>深圳市重大科研平台制度体系设计和</w:t>
      </w:r>
    </w:p>
    <w:p w14:paraId="034EBB5A">
      <w:pPr>
        <w:adjustRightInd w:val="0"/>
        <w:snapToGrid w:val="0"/>
        <w:jc w:val="center"/>
        <w:rPr>
          <w:rFonts w:hint="eastAsia" w:ascii="宋体" w:hAnsi="宋体" w:cs="Arial"/>
          <w:b/>
          <w:bCs/>
          <w:sz w:val="44"/>
          <w:szCs w:val="44"/>
        </w:rPr>
      </w:pPr>
      <w:r>
        <w:rPr>
          <w:rFonts w:hint="eastAsia" w:ascii="宋体" w:hAnsi="宋体" w:cs="Arial"/>
          <w:b/>
          <w:bCs/>
          <w:sz w:val="44"/>
          <w:szCs w:val="44"/>
        </w:rPr>
        <w:t>大型科研仪器自主攻关项目</w:t>
      </w:r>
    </w:p>
    <w:p w14:paraId="56CB981A">
      <w:pPr>
        <w:adjustRightInd w:val="0"/>
        <w:snapToGrid w:val="0"/>
        <w:jc w:val="center"/>
        <w:rPr>
          <w:rFonts w:ascii="宋体" w:hAnsi="宋体" w:cs="Arial"/>
          <w:b/>
          <w:bCs/>
          <w:sz w:val="44"/>
          <w:szCs w:val="44"/>
        </w:rPr>
      </w:pPr>
      <w:r>
        <w:rPr>
          <w:rFonts w:hint="eastAsia" w:ascii="宋体" w:hAnsi="宋体" w:cs="Arial"/>
          <w:b/>
          <w:bCs/>
          <w:sz w:val="44"/>
          <w:szCs w:val="44"/>
        </w:rPr>
        <w:t>谋划预研项目招标文件</w:t>
      </w:r>
    </w:p>
    <w:p w14:paraId="381C9393">
      <w:pPr>
        <w:spacing w:before="156" w:beforeLines="50" w:after="156" w:afterLines="50" w:line="560" w:lineRule="exact"/>
        <w:ind w:firstLine="643" w:firstLineChars="200"/>
        <w:outlineLvl w:val="0"/>
        <w:rPr>
          <w:rFonts w:ascii="黑体" w:hAnsi="黑体" w:eastAsia="黑体"/>
          <w:b/>
          <w:bCs/>
          <w:sz w:val="32"/>
          <w:szCs w:val="32"/>
        </w:rPr>
      </w:pPr>
    </w:p>
    <w:p w14:paraId="34ED415A">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rPr>
        <w:t>一、项目概</w:t>
      </w:r>
      <w:r>
        <w:rPr>
          <w:rFonts w:hint="eastAsia" w:ascii="黑体" w:hAnsi="黑体" w:eastAsia="黑体"/>
          <w:b w:val="0"/>
          <w:bCs/>
          <w:sz w:val="32"/>
          <w:szCs w:val="32"/>
          <w:highlight w:val="none"/>
        </w:rPr>
        <w:t>况</w:t>
      </w:r>
    </w:p>
    <w:p w14:paraId="34B4F105">
      <w:pPr>
        <w:adjustRightInd w:val="0"/>
        <w:snapToGrid w:val="0"/>
        <w:spacing w:line="560" w:lineRule="exact"/>
        <w:ind w:firstLine="640" w:firstLineChars="200"/>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（一）项目名称：深圳市重大科研平台制度体系设计和大型科研仪器自主攻关项目谋划预研项目</w:t>
      </w:r>
    </w:p>
    <w:p w14:paraId="1C597F73">
      <w:pPr>
        <w:adjustRightInd w:val="0"/>
        <w:snapToGrid w:val="0"/>
        <w:spacing w:line="560" w:lineRule="exact"/>
        <w:ind w:firstLine="640" w:firstLineChars="200"/>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（二）服务期限：自合同签订之日起6个月</w:t>
      </w:r>
    </w:p>
    <w:p w14:paraId="32B25713">
      <w:pPr>
        <w:adjustRightInd w:val="0"/>
        <w:snapToGrid w:val="0"/>
        <w:spacing w:line="560" w:lineRule="exact"/>
        <w:ind w:firstLine="640" w:firstLineChars="200"/>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（三）项目预算：预算金额</w:t>
      </w:r>
      <w:r>
        <w:rPr>
          <w:rFonts w:hint="eastAsia" w:ascii="仿宋_GB2312" w:hAnsi="仿宋" w:eastAsia="仿宋_GB2312" w:cs="仿宋_GB2312"/>
          <w:sz w:val="32"/>
          <w:szCs w:val="32"/>
          <w:highlight w:val="none"/>
          <w:lang w:val="en-US" w:eastAsia="zh-CN"/>
        </w:rPr>
        <w:t>89</w:t>
      </w:r>
      <w:r>
        <w:rPr>
          <w:rFonts w:hint="eastAsia" w:ascii="仿宋_GB2312" w:hAnsi="仿宋" w:eastAsia="仿宋_GB2312" w:cs="仿宋_GB2312"/>
          <w:sz w:val="32"/>
          <w:szCs w:val="32"/>
          <w:highlight w:val="none"/>
        </w:rPr>
        <w:t>万元以下</w:t>
      </w:r>
    </w:p>
    <w:p w14:paraId="14B29298">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二、项目内容</w:t>
      </w:r>
    </w:p>
    <w:p w14:paraId="382009B1">
      <w:pPr>
        <w:adjustRightInd w:val="0"/>
        <w:snapToGrid w:val="0"/>
        <w:spacing w:line="560" w:lineRule="exact"/>
        <w:ind w:firstLine="640" w:firstLineChars="200"/>
        <w:outlineLvl w:val="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一</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采用书面征询等</w:t>
      </w:r>
      <w:r>
        <w:rPr>
          <w:rFonts w:hint="eastAsia" w:ascii="仿宋" w:hAnsi="仿宋" w:eastAsia="仿宋" w:cs="仿宋_GB2312"/>
          <w:sz w:val="32"/>
          <w:szCs w:val="32"/>
          <w:highlight w:val="none"/>
          <w:lang w:val="en-US" w:eastAsia="zh-CN"/>
        </w:rPr>
        <w:t>多种方式</w:t>
      </w:r>
      <w:r>
        <w:rPr>
          <w:rFonts w:hint="eastAsia" w:ascii="仿宋" w:hAnsi="仿宋" w:eastAsia="仿宋" w:cs="仿宋_GB2312"/>
          <w:sz w:val="32"/>
          <w:szCs w:val="32"/>
          <w:highlight w:val="none"/>
        </w:rPr>
        <w:t>，调研分析北京怀柔、上海张江、浙江金华、重庆等重点城市区域，梳理分析国家重大科技基础设施、地方建设的重大科技基础设施以及前沿交叉研究平台等重大科研平台的谋划布局、建设管理、运行管理、开放共享等关键环节管理模式和机制方面的政策、法规等文件，总结重大科研平台布局建设、运行和对外开放情况及相关经验做法。</w:t>
      </w:r>
    </w:p>
    <w:p w14:paraId="0CA0773E">
      <w:pPr>
        <w:adjustRightInd w:val="0"/>
        <w:snapToGrid w:val="0"/>
        <w:spacing w:line="560" w:lineRule="exact"/>
        <w:ind w:firstLine="640" w:firstLineChars="200"/>
        <w:outlineLvl w:val="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二</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全面梳理深圳市现有重大科研平台布局建设整体情况，总结重大科研平台建设、运行、开放共享等方面己制定的相关政策、法规，调研现有重大科研平台主管部门及建设单位在平台管理、建设、运行、开放共享等方面的相关经验、诉求及存在问题，总结深圳市重大科研平台对推动科技产业创新发展的作用。</w:t>
      </w:r>
    </w:p>
    <w:p w14:paraId="56AAB095">
      <w:pPr>
        <w:adjustRightInd w:val="0"/>
        <w:snapToGrid w:val="0"/>
        <w:spacing w:line="560" w:lineRule="exact"/>
        <w:ind w:firstLine="640" w:firstLineChars="200"/>
        <w:outlineLvl w:val="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三</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围绕深圳市“20+8”产业集群重点发展方向，调研深圳市重点企业、高校、科研院所在科技产业方面对重大科研平台的需求情况，并同步征集支撑深圳市科技产业快速发展的重大科研平台项目。</w:t>
      </w:r>
    </w:p>
    <w:p w14:paraId="7E162F5D">
      <w:pPr>
        <w:adjustRightInd w:val="0"/>
        <w:snapToGrid w:val="0"/>
        <w:spacing w:line="560" w:lineRule="exact"/>
        <w:ind w:firstLine="640" w:firstLineChars="200"/>
        <w:outlineLvl w:val="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四</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参考国</w:t>
      </w:r>
      <w:r>
        <w:rPr>
          <w:rFonts w:hint="eastAsia" w:ascii="仿宋" w:hAnsi="仿宋" w:eastAsia="仿宋" w:cs="仿宋_GB2312"/>
          <w:sz w:val="32"/>
          <w:szCs w:val="32"/>
          <w:highlight w:val="none"/>
          <w:lang w:val="en-US" w:eastAsia="zh-CN"/>
        </w:rPr>
        <w:t>内</w:t>
      </w:r>
      <w:r>
        <w:rPr>
          <w:rFonts w:hint="eastAsia" w:ascii="仿宋" w:hAnsi="仿宋" w:eastAsia="仿宋" w:cs="仿宋_GB2312"/>
          <w:sz w:val="32"/>
          <w:szCs w:val="32"/>
          <w:highlight w:val="none"/>
        </w:rPr>
        <w:t>重点城市在重大科研平台布局建设、运行、开放共享等方面的有关政策、法规及相关经验做法，结合深圳市现有科研平台建设、运行管理情况，研提深圳市重大科研平台全生命周期管理机制及相关支持政策建议，明确平台建设相关方的责任分工、决策、建设、运行管理等程序。</w:t>
      </w:r>
    </w:p>
    <w:p w14:paraId="497EF317">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五</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结合深圳市科技产业发展实际和需求，以及现有重大科研平台建设情况，谋划布局一批支撑深圳市科技产业发展的大型科研仪器自主攻关项目。</w:t>
      </w:r>
    </w:p>
    <w:p w14:paraId="6B769CCF">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三、项目技术要求</w:t>
      </w:r>
    </w:p>
    <w:p w14:paraId="7AE93F59">
      <w:pPr>
        <w:adjustRightInd w:val="0"/>
        <w:snapToGrid w:val="0"/>
        <w:spacing w:line="560" w:lineRule="exact"/>
        <w:ind w:firstLine="640" w:firstLineChars="200"/>
        <w:outlineLvl w:val="0"/>
        <w:rPr>
          <w:rFonts w:ascii="仿宋" w:hAnsi="仿宋" w:eastAsia="仿宋" w:cs="仿宋_GB2312"/>
          <w:sz w:val="32"/>
          <w:szCs w:val="32"/>
          <w:highlight w:val="none"/>
        </w:rPr>
      </w:pPr>
      <w:r>
        <w:rPr>
          <w:rFonts w:ascii="仿宋" w:hAnsi="仿宋" w:eastAsia="仿宋" w:cs="仿宋_GB2312"/>
          <w:sz w:val="32"/>
          <w:szCs w:val="32"/>
          <w:highlight w:val="none"/>
        </w:rPr>
        <w:t>（一）</w:t>
      </w:r>
      <w:r>
        <w:rPr>
          <w:rFonts w:hint="eastAsia" w:ascii="仿宋" w:hAnsi="仿宋" w:eastAsia="仿宋" w:cs="仿宋_GB2312"/>
          <w:sz w:val="32"/>
          <w:szCs w:val="32"/>
          <w:highlight w:val="none"/>
        </w:rPr>
        <w:t>项目成果应遵循国家颁布的有关法律、法规及政策要求，符合相关技术规范和标准。</w:t>
      </w:r>
    </w:p>
    <w:p w14:paraId="55AFDC95">
      <w:pPr>
        <w:adjustRightInd w:val="0"/>
        <w:snapToGrid w:val="0"/>
        <w:spacing w:line="560" w:lineRule="exact"/>
        <w:ind w:firstLine="640" w:firstLineChars="200"/>
        <w:outlineLvl w:val="0"/>
        <w:rPr>
          <w:rFonts w:ascii="仿宋" w:hAnsi="仿宋" w:eastAsia="仿宋" w:cs="仿宋_GB2312"/>
          <w:sz w:val="32"/>
          <w:szCs w:val="32"/>
        </w:rPr>
      </w:pPr>
      <w:r>
        <w:rPr>
          <w:rFonts w:ascii="仿宋" w:hAnsi="仿宋" w:eastAsia="仿宋" w:cs="仿宋_GB2312"/>
          <w:sz w:val="32"/>
          <w:szCs w:val="32"/>
        </w:rPr>
        <w:t>（二）</w:t>
      </w:r>
      <w:r>
        <w:rPr>
          <w:rFonts w:hint="eastAsia" w:ascii="仿宋" w:hAnsi="仿宋" w:eastAsia="仿宋" w:cs="仿宋_GB2312"/>
          <w:sz w:val="32"/>
          <w:szCs w:val="32"/>
        </w:rPr>
        <w:t>组建调研工作团队，其中具备博士研究生学历以上技能人才研究专家不少于3人。</w:t>
      </w:r>
    </w:p>
    <w:p w14:paraId="6346203A">
      <w:pPr>
        <w:adjustRightInd w:val="0"/>
        <w:snapToGrid w:val="0"/>
        <w:spacing w:line="560" w:lineRule="exact"/>
        <w:ind w:firstLine="640" w:firstLineChars="200"/>
        <w:outlineLvl w:val="0"/>
        <w:rPr>
          <w:rFonts w:ascii="仿宋" w:hAnsi="仿宋" w:eastAsia="仿宋" w:cs="仿宋_GB2312"/>
          <w:sz w:val="32"/>
          <w:szCs w:val="32"/>
        </w:rPr>
      </w:pPr>
      <w:r>
        <w:rPr>
          <w:rFonts w:ascii="仿宋" w:hAnsi="仿宋" w:eastAsia="仿宋" w:cs="仿宋_GB2312"/>
          <w:sz w:val="32"/>
          <w:szCs w:val="32"/>
        </w:rPr>
        <w:t>（三）</w:t>
      </w:r>
      <w:r>
        <w:rPr>
          <w:rFonts w:hint="eastAsia" w:ascii="仿宋" w:hAnsi="仿宋" w:eastAsia="仿宋" w:cs="仿宋_GB2312"/>
          <w:sz w:val="32"/>
          <w:szCs w:val="32"/>
        </w:rPr>
        <w:t>采取案头研究、现场调研、集中座谈、电话访谈、视频会议、专家咨询等方式开展分析研究国家重大科技基础设施、地方建设的重大科技基础设施以及前沿交叉研究平台等重大科研平台布局建设、运行和对外开放情况及相关经验做法</w:t>
      </w:r>
      <w:r>
        <w:rPr>
          <w:rFonts w:hint="eastAsia" w:ascii="仿宋" w:hAnsi="仿宋" w:eastAsia="仿宋" w:cs="仿宋_GB2312"/>
          <w:sz w:val="32"/>
          <w:szCs w:val="32"/>
          <w:lang w:eastAsia="zh-CN"/>
        </w:rPr>
        <w:t>。</w:t>
      </w:r>
    </w:p>
    <w:p w14:paraId="0749B4AC">
      <w:pPr>
        <w:adjustRightInd w:val="0"/>
        <w:snapToGrid w:val="0"/>
        <w:spacing w:line="560" w:lineRule="exact"/>
        <w:ind w:firstLine="640" w:firstLineChars="200"/>
        <w:outlineLvl w:val="0"/>
        <w:rPr>
          <w:rFonts w:ascii="仿宋" w:hAnsi="仿宋" w:eastAsia="仿宋" w:cs="仿宋_GB2312"/>
          <w:sz w:val="32"/>
          <w:szCs w:val="32"/>
          <w:highlight w:val="none"/>
        </w:rPr>
      </w:pPr>
      <w:r>
        <w:rPr>
          <w:rFonts w:ascii="仿宋" w:hAnsi="仿宋" w:eastAsia="仿宋" w:cs="仿宋_GB2312"/>
          <w:sz w:val="32"/>
          <w:szCs w:val="32"/>
        </w:rPr>
        <w:t>（四）</w:t>
      </w:r>
      <w:r>
        <w:rPr>
          <w:rFonts w:hint="eastAsia" w:ascii="仿宋" w:hAnsi="仿宋" w:eastAsia="仿宋" w:cs="仿宋_GB2312"/>
          <w:sz w:val="32"/>
          <w:szCs w:val="32"/>
        </w:rPr>
        <w:t>研究成果要具有前瞻性，面向未来、视野开阔；具有系统性，研究成果要体</w:t>
      </w:r>
      <w:r>
        <w:rPr>
          <w:rFonts w:hint="eastAsia" w:ascii="仿宋" w:hAnsi="仿宋" w:eastAsia="仿宋" w:cs="仿宋_GB2312"/>
          <w:sz w:val="32"/>
          <w:szCs w:val="32"/>
          <w:highlight w:val="none"/>
        </w:rPr>
        <w:t>系完整、内容全面、材料丰富；具有实用性，研究成果符合深圳实际，针对性和可操作性强。</w:t>
      </w:r>
    </w:p>
    <w:p w14:paraId="15271FF7">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四、项目成果交付要求</w:t>
      </w:r>
    </w:p>
    <w:p w14:paraId="33920065">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提交研究成果纸质版6份和电子版；形成汇报演示PPT文件，文件能够简明扼要介绍成果核心内容与主要结论。</w:t>
      </w:r>
    </w:p>
    <w:p w14:paraId="24C5BA8B">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五、项目保密要求</w:t>
      </w:r>
    </w:p>
    <w:p w14:paraId="2305526D">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中标人应当对其在项目开展过程中所知悉的国家秘密、商业秘密和技术秘密负有保密责任，建立并实施相应的保密措施，具体保密要求如下：</w:t>
      </w:r>
    </w:p>
    <w:p w14:paraId="08A39ADE">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（一）中标人不得利用所获取、掌握的采购人及其他政府部门的任何保密内容从事采购人及其他政府部门授权工作以外的任何事情，不得披露、允许第三方使用。</w:t>
      </w:r>
    </w:p>
    <w:p w14:paraId="08D49146">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（二）中标人按照采购人要求完成项目后，须立即将项目成果提交采购人存档，未经采购人许可，不得向第三方披露。</w:t>
      </w:r>
    </w:p>
    <w:p w14:paraId="1DD05856">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（三）中标人应建立相应的保密制度，明确项目开展过程中各环节的保密性要求，确保相关资料和信息的保密性。</w:t>
      </w:r>
    </w:p>
    <w:p w14:paraId="2A5D6762">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六、投标资格要求</w:t>
      </w:r>
    </w:p>
    <w:p w14:paraId="7C1008EE">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（一）具有独立承担民事责任能力的在中华人民共和国境内注册的法人。</w:t>
      </w:r>
    </w:p>
    <w:p w14:paraId="0A0B9299">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（二）投标人必须具备相关经营范围（咨询服务等），具备开展本项目研究的基本条件和研究能力。</w:t>
      </w:r>
    </w:p>
    <w:p w14:paraId="4F1DD590">
      <w:pPr>
        <w:adjustRightInd w:val="0"/>
        <w:snapToGrid w:val="0"/>
        <w:spacing w:line="560" w:lineRule="exact"/>
        <w:ind w:firstLine="640" w:firstLineChars="200"/>
        <w:outlineLvl w:val="0"/>
        <w:rPr>
          <w:rFonts w:ascii="仿宋" w:hAnsi="仿宋" w:eastAsia="仿宋" w:cs="仿宋_GB2312"/>
          <w:sz w:val="32"/>
          <w:szCs w:val="32"/>
          <w:highlight w:val="none"/>
        </w:rPr>
      </w:pPr>
      <w:r>
        <w:rPr>
          <w:rFonts w:hint="eastAsia" w:ascii="仿宋" w:hAnsi="仿宋" w:eastAsia="仿宋" w:cs="仿宋_GB2312"/>
          <w:sz w:val="32"/>
          <w:szCs w:val="32"/>
          <w:highlight w:val="none"/>
        </w:rPr>
        <w:t>（三）参加本次政府采购活动前3年内在经营活动中没有重大违法记录（提供声明函，格式自拟）。</w:t>
      </w:r>
    </w:p>
    <w:p w14:paraId="0119573E">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七、投标时间、地点及联系人</w:t>
      </w:r>
    </w:p>
    <w:p w14:paraId="2E757E0F">
      <w:pPr>
        <w:pStyle w:val="38"/>
        <w:widowControl/>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（一）投标时间：202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日，每日上午9:00-12:00，下午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17：45</w:t>
      </w:r>
      <w:r>
        <w:rPr>
          <w:rFonts w:hint="eastAsia" w:ascii="仿宋_GB2312" w:hAnsi="仿宋_GB2312" w:eastAsia="仿宋_GB2312" w:cs="仿宋_GB2312"/>
          <w:sz w:val="32"/>
          <w:szCs w:val="32"/>
          <w:highlight w:val="none"/>
        </w:rPr>
        <w:t>（节假日除外）。逾期未投标将不再受理。</w:t>
      </w:r>
    </w:p>
    <w:p w14:paraId="7166A52E">
      <w:pPr>
        <w:pStyle w:val="38"/>
        <w:widowControl/>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（二）投标地点：深圳市福田区福中三路市民中心B区行政服务大厅2号市发展改革委卡座（可邮寄，以送达日期为投标日期）。</w:t>
      </w:r>
    </w:p>
    <w:p w14:paraId="74697299">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（三）联系人及联系方式：</w:t>
      </w:r>
      <w:r>
        <w:rPr>
          <w:rFonts w:hint="eastAsia" w:ascii="仿宋_GB2312" w:hAnsi="仿宋_GB2312" w:eastAsia="仿宋_GB2312" w:cs="仿宋_GB2312"/>
          <w:sz w:val="32"/>
          <w:szCs w:val="32"/>
          <w:highlight w:val="none"/>
          <w:lang w:eastAsia="zh-CN"/>
        </w:rPr>
        <w:t>黄</w:t>
      </w:r>
      <w:r>
        <w:rPr>
          <w:rFonts w:hint="eastAsia" w:ascii="仿宋_GB2312" w:hAnsi="仿宋_GB2312" w:eastAsia="仿宋_GB2312" w:cs="仿宋_GB2312"/>
          <w:sz w:val="32"/>
          <w:szCs w:val="32"/>
          <w:highlight w:val="none"/>
          <w:lang w:val="en-US" w:eastAsia="zh-CN"/>
        </w:rPr>
        <w:t>先生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z w:val="32"/>
          <w:szCs w:val="32"/>
          <w:highlight w:val="none"/>
        </w:rPr>
        <w:t>88125971。</w:t>
      </w:r>
    </w:p>
    <w:p w14:paraId="76E198BF">
      <w:pPr>
        <w:adjustRightInd w:val="0"/>
        <w:snapToGrid w:val="0"/>
        <w:spacing w:line="560" w:lineRule="exact"/>
        <w:ind w:firstLine="640" w:firstLineChars="200"/>
        <w:outlineLvl w:val="0"/>
        <w:rPr>
          <w:rFonts w:ascii="黑体" w:hAnsi="黑体" w:eastAsia="黑体"/>
          <w:b w:val="0"/>
          <w:bCs/>
          <w:sz w:val="32"/>
          <w:szCs w:val="32"/>
          <w:highlight w:val="none"/>
        </w:rPr>
      </w:pPr>
      <w:r>
        <w:rPr>
          <w:rFonts w:hint="eastAsia" w:ascii="黑体" w:hAnsi="黑体" w:eastAsia="黑体"/>
          <w:b w:val="0"/>
          <w:bCs/>
          <w:sz w:val="32"/>
          <w:szCs w:val="32"/>
          <w:highlight w:val="none"/>
        </w:rPr>
        <w:t>八、投标文件递交内容</w:t>
      </w:r>
    </w:p>
    <w:p w14:paraId="14490504">
      <w:pPr>
        <w:adjustRightInd w:val="0"/>
        <w:snapToGrid w:val="0"/>
        <w:spacing w:line="560" w:lineRule="exact"/>
        <w:ind w:firstLine="640" w:firstLineChars="200"/>
        <w:outlineLvl w:val="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（一）投标单位简介、投标人营业执照及相关证照（提供加盖公章的复印件，原件备查）。</w:t>
      </w:r>
    </w:p>
    <w:p w14:paraId="6EB09C61">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highlight w:val="none"/>
        </w:rPr>
        <w:t>（二）法定代表人证明书及授权委托书</w:t>
      </w:r>
      <w:r>
        <w:rPr>
          <w:rFonts w:hint="eastAsia" w:ascii="仿宋" w:hAnsi="仿宋" w:eastAsia="仿宋" w:cs="仿宋_GB2312"/>
          <w:sz w:val="32"/>
          <w:szCs w:val="32"/>
        </w:rPr>
        <w:t>（原件加盖公章）。</w:t>
      </w:r>
    </w:p>
    <w:p w14:paraId="76B7C85D">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（三）法定代表人及受委托人身份证复印件（复印件加盖公章）。</w:t>
      </w:r>
    </w:p>
    <w:p w14:paraId="705FA85C">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（四）项目方案及报价单（原件加盖公章）。</w:t>
      </w:r>
    </w:p>
    <w:p w14:paraId="679865E4">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（五）投标人相关领域/项目经验证明材料（复印件加盖公章）。</w:t>
      </w:r>
    </w:p>
    <w:p w14:paraId="66E78B5A">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（六）投标人无重大违法记录声明函（原件加盖公章，格式自拟）。</w:t>
      </w:r>
    </w:p>
    <w:p w14:paraId="5389FA2E">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（七）投标及履约承诺函原件（格式见附件）。</w:t>
      </w:r>
    </w:p>
    <w:p w14:paraId="4750C690">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（八）住所地不在深圳的投标人应提供营业场所证明原件。</w:t>
      </w:r>
    </w:p>
    <w:p w14:paraId="59C61CF0">
      <w:pPr>
        <w:adjustRightInd w:val="0"/>
        <w:snapToGrid w:val="0"/>
        <w:spacing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（九）综合评分表要求提供的材料，以及投标人认为有必要提供的其它材料。</w:t>
      </w:r>
    </w:p>
    <w:p w14:paraId="009C239D">
      <w:pPr>
        <w:adjustRightInd w:val="0"/>
        <w:snapToGrid w:val="0"/>
        <w:spacing w:line="560" w:lineRule="exact"/>
        <w:ind w:firstLine="640" w:firstLineChars="200"/>
        <w:outlineLvl w:val="0"/>
        <w:rPr>
          <w:rFonts w:hint="eastAsia" w:ascii="黑体" w:hAnsi="黑体" w:eastAsia="黑体"/>
          <w:b w:val="0"/>
          <w:bCs/>
          <w:sz w:val="32"/>
          <w:szCs w:val="32"/>
        </w:rPr>
      </w:pPr>
      <w:r>
        <w:rPr>
          <w:rFonts w:hint="eastAsia" w:ascii="仿宋" w:hAnsi="仿宋" w:eastAsia="仿宋" w:cs="仿宋_GB2312"/>
          <w:sz w:val="32"/>
          <w:szCs w:val="32"/>
        </w:rPr>
        <w:t>投标文件一式三份，整套材料密封并加盖骑缝章，封面注明投标人的名称、地址、联系人及手机号码。</w:t>
      </w:r>
    </w:p>
    <w:p w14:paraId="5F8CF650">
      <w:pPr>
        <w:adjustRightInd w:val="0"/>
        <w:snapToGrid w:val="0"/>
        <w:spacing w:line="560" w:lineRule="exact"/>
        <w:ind w:firstLine="640" w:firstLineChars="200"/>
        <w:outlineLvl w:val="0"/>
        <w:rPr>
          <w:rFonts w:ascii="黑体" w:hAnsi="黑体" w:eastAsia="黑体"/>
          <w:b w:val="0"/>
          <w:bCs/>
          <w:sz w:val="32"/>
          <w:szCs w:val="32"/>
        </w:rPr>
      </w:pPr>
      <w:r>
        <w:rPr>
          <w:rFonts w:hint="eastAsia" w:ascii="黑体" w:hAnsi="黑体" w:eastAsia="黑体"/>
          <w:b w:val="0"/>
          <w:bCs/>
          <w:sz w:val="32"/>
          <w:szCs w:val="32"/>
        </w:rPr>
        <w:t>九、重要提示</w:t>
      </w:r>
    </w:p>
    <w:p w14:paraId="6A04C5B3">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投标单位有下列情况之一的，其投标将被拒绝或作无效投标处理：</w:t>
      </w:r>
    </w:p>
    <w:p w14:paraId="3F7D5B99">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（一）未在规定时间内将投标文件送达规定地点的。</w:t>
      </w:r>
    </w:p>
    <w:p w14:paraId="66668930">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（二）投标人不具备投标资格要求，或未提交相应资格证明材料。</w:t>
      </w:r>
    </w:p>
    <w:p w14:paraId="39FF98F9">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（三）投标文件未按规定密封、签字、盖章。</w:t>
      </w:r>
    </w:p>
    <w:p w14:paraId="04C41679">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（四）投标文件无法定代表人签字或无法定代表人有效授权委托的。</w:t>
      </w:r>
    </w:p>
    <w:p w14:paraId="385264A4">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（五）分项报价或投标总价高于预算金额（最高投标限价）的。</w:t>
      </w:r>
    </w:p>
    <w:p w14:paraId="071DF825">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（六）同一项目出现两个及以上报价，且按规定无法确定哪个是有效报价。</w:t>
      </w:r>
    </w:p>
    <w:p w14:paraId="76C62D3D">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5B3A4843">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（八）所投服务在质量、技术、方案等方面没有实质性满足招标文件要求。</w:t>
      </w:r>
    </w:p>
    <w:p w14:paraId="0FF93A09">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（九）法律、法规规定的其他情形。</w:t>
      </w:r>
    </w:p>
    <w:p w14:paraId="3EA58576">
      <w:pPr>
        <w:adjustRightInd w:val="0"/>
        <w:snapToGrid w:val="0"/>
        <w:spacing w:line="560" w:lineRule="exact"/>
        <w:ind w:firstLine="640" w:firstLineChars="200"/>
        <w:outlineLvl w:val="0"/>
        <w:rPr>
          <w:rFonts w:ascii="黑体" w:hAnsi="黑体" w:eastAsia="黑体"/>
          <w:b w:val="0"/>
          <w:bCs/>
          <w:sz w:val="32"/>
          <w:szCs w:val="32"/>
        </w:rPr>
      </w:pPr>
      <w:r>
        <w:rPr>
          <w:rFonts w:hint="eastAsia" w:ascii="黑体" w:hAnsi="黑体" w:eastAsia="黑体"/>
          <w:b w:val="0"/>
          <w:bCs/>
          <w:sz w:val="32"/>
          <w:szCs w:val="32"/>
        </w:rPr>
        <w:t>十、评标方法</w:t>
      </w:r>
    </w:p>
    <w:p w14:paraId="644E904D">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（一）评标方法为综合评分法，具体评分标准和规则为：投标文件从技术、商务和价格等三个评审因素进行评分，出现总分相同的，则总分相等投标人中最低价者中标。</w:t>
      </w:r>
    </w:p>
    <w:p w14:paraId="00C62A53">
      <w:pPr>
        <w:spacing w:before="156" w:beforeLines="50" w:after="156" w:afterLines="50" w:line="560" w:lineRule="exact"/>
        <w:ind w:firstLine="640" w:firstLineChars="200"/>
        <w:outlineLvl w:val="0"/>
        <w:rPr>
          <w:rFonts w:hint="eastAsia" w:ascii="仿宋" w:hAnsi="仿宋" w:eastAsia="仿宋" w:cs="仿宋_GB2312"/>
          <w:sz w:val="32"/>
          <w:szCs w:val="32"/>
        </w:rPr>
      </w:pPr>
      <w:r>
        <w:rPr>
          <w:rFonts w:hint="eastAsia" w:ascii="仿宋" w:hAnsi="仿宋" w:eastAsia="仿宋" w:cs="仿宋_GB2312"/>
          <w:sz w:val="32"/>
          <w:szCs w:val="32"/>
        </w:rPr>
        <w:t>（二）综合评分表</w:t>
      </w:r>
    </w:p>
    <w:tbl>
      <w:tblPr>
        <w:tblStyle w:val="43"/>
        <w:tblW w:w="8261"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5C675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30ACA5C6">
            <w:pPr>
              <w:ind w:left="-78" w:leftChars="-37" w:right="-73" w:rightChars="-35"/>
              <w:jc w:val="center"/>
              <w:rPr>
                <w:rFonts w:ascii="宋体" w:hAnsi="宋体" w:cs="宋体"/>
                <w:b/>
                <w:sz w:val="22"/>
                <w:szCs w:val="24"/>
              </w:rPr>
            </w:pPr>
            <w:r>
              <w:rPr>
                <w:rFonts w:hint="eastAsia" w:ascii="宋体" w:hAnsi="宋体" w:cs="宋体"/>
                <w:b/>
                <w:sz w:val="22"/>
                <w:szCs w:val="24"/>
              </w:rPr>
              <w:t>评审部分</w:t>
            </w:r>
          </w:p>
        </w:tc>
        <w:tc>
          <w:tcPr>
            <w:tcW w:w="1202" w:type="dxa"/>
            <w:vAlign w:val="center"/>
          </w:tcPr>
          <w:p w14:paraId="1634B30D">
            <w:pPr>
              <w:ind w:left="-78" w:leftChars="-37" w:right="-73" w:rightChars="-35"/>
              <w:jc w:val="center"/>
              <w:rPr>
                <w:rFonts w:ascii="宋体" w:hAnsi="宋体" w:cs="宋体"/>
                <w:b/>
                <w:sz w:val="22"/>
                <w:szCs w:val="24"/>
              </w:rPr>
            </w:pPr>
            <w:r>
              <w:rPr>
                <w:rFonts w:hint="eastAsia" w:ascii="宋体" w:hAnsi="宋体" w:cs="宋体"/>
                <w:b/>
                <w:sz w:val="22"/>
                <w:szCs w:val="24"/>
              </w:rPr>
              <w:t>评审因素</w:t>
            </w:r>
          </w:p>
        </w:tc>
        <w:tc>
          <w:tcPr>
            <w:tcW w:w="4678" w:type="dxa"/>
            <w:vAlign w:val="center"/>
          </w:tcPr>
          <w:p w14:paraId="29029C17">
            <w:pPr>
              <w:ind w:left="-78" w:leftChars="-37" w:right="-73" w:rightChars="-35"/>
              <w:jc w:val="center"/>
              <w:rPr>
                <w:rFonts w:ascii="宋体" w:hAnsi="宋体" w:cs="宋体"/>
                <w:b/>
                <w:sz w:val="22"/>
                <w:szCs w:val="24"/>
              </w:rPr>
            </w:pPr>
            <w:r>
              <w:rPr>
                <w:rFonts w:hint="eastAsia" w:ascii="宋体" w:hAnsi="宋体" w:cs="宋体"/>
                <w:b/>
                <w:sz w:val="22"/>
                <w:szCs w:val="24"/>
              </w:rPr>
              <w:t>评分细则</w:t>
            </w:r>
          </w:p>
        </w:tc>
        <w:tc>
          <w:tcPr>
            <w:tcW w:w="850" w:type="dxa"/>
            <w:tcBorders>
              <w:right w:val="single" w:color="auto" w:sz="4" w:space="0"/>
            </w:tcBorders>
            <w:vAlign w:val="center"/>
          </w:tcPr>
          <w:p w14:paraId="1C9FD037">
            <w:pPr>
              <w:ind w:left="-78" w:leftChars="-37" w:right="-73" w:rightChars="-35"/>
              <w:jc w:val="center"/>
              <w:rPr>
                <w:rFonts w:ascii="宋体" w:hAnsi="宋体" w:cs="宋体"/>
                <w:b/>
                <w:sz w:val="22"/>
                <w:szCs w:val="24"/>
              </w:rPr>
            </w:pPr>
            <w:r>
              <w:rPr>
                <w:rFonts w:hint="eastAsia" w:ascii="宋体" w:hAnsi="宋体" w:cs="宋体"/>
                <w:b/>
                <w:sz w:val="22"/>
                <w:szCs w:val="24"/>
              </w:rPr>
              <w:t>权重（%）</w:t>
            </w:r>
          </w:p>
        </w:tc>
        <w:tc>
          <w:tcPr>
            <w:tcW w:w="851" w:type="dxa"/>
            <w:tcBorders>
              <w:left w:val="single" w:color="auto" w:sz="4" w:space="0"/>
            </w:tcBorders>
            <w:vAlign w:val="center"/>
          </w:tcPr>
          <w:p w14:paraId="0E104B72">
            <w:pPr>
              <w:ind w:left="-78" w:leftChars="-37" w:right="-73" w:rightChars="-35"/>
              <w:jc w:val="center"/>
              <w:rPr>
                <w:rFonts w:ascii="宋体" w:hAnsi="宋体" w:cs="宋体"/>
                <w:b/>
                <w:sz w:val="22"/>
                <w:szCs w:val="24"/>
              </w:rPr>
            </w:pPr>
            <w:r>
              <w:rPr>
                <w:rFonts w:hint="eastAsia" w:ascii="宋体" w:hAnsi="宋体" w:cs="宋体"/>
                <w:b/>
                <w:sz w:val="22"/>
                <w:szCs w:val="24"/>
              </w:rPr>
              <w:t>分值（分）</w:t>
            </w:r>
          </w:p>
        </w:tc>
      </w:tr>
      <w:tr w14:paraId="75D20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047797F6">
            <w:pPr>
              <w:ind w:left="-78" w:leftChars="-37" w:right="-73" w:rightChars="-35"/>
              <w:jc w:val="center"/>
              <w:rPr>
                <w:rFonts w:ascii="宋体" w:hAnsi="宋体" w:cs="宋体"/>
                <w:b/>
                <w:sz w:val="22"/>
                <w:szCs w:val="24"/>
              </w:rPr>
            </w:pPr>
            <w:r>
              <w:rPr>
                <w:rFonts w:hint="eastAsia" w:ascii="宋体" w:hAnsi="宋体" w:cs="宋体"/>
                <w:b/>
                <w:sz w:val="22"/>
                <w:szCs w:val="24"/>
              </w:rPr>
              <w:t>一</w:t>
            </w:r>
          </w:p>
        </w:tc>
        <w:tc>
          <w:tcPr>
            <w:tcW w:w="7581" w:type="dxa"/>
            <w:gridSpan w:val="4"/>
            <w:vAlign w:val="center"/>
          </w:tcPr>
          <w:p w14:paraId="6D68BD23">
            <w:pPr>
              <w:ind w:left="-78" w:leftChars="-37" w:right="-73" w:rightChars="-35"/>
              <w:jc w:val="center"/>
              <w:rPr>
                <w:rFonts w:ascii="宋体" w:hAnsi="宋体" w:cs="宋体"/>
                <w:b/>
                <w:sz w:val="22"/>
                <w:szCs w:val="24"/>
              </w:rPr>
            </w:pPr>
            <w:r>
              <w:rPr>
                <w:rFonts w:hint="eastAsia" w:ascii="宋体" w:hAnsi="宋体"/>
                <w:b/>
                <w:sz w:val="22"/>
                <w:szCs w:val="24"/>
              </w:rPr>
              <w:t>技术部分（合计</w:t>
            </w:r>
            <w:r>
              <w:rPr>
                <w:rFonts w:ascii="宋体" w:hAnsi="宋体"/>
                <w:b/>
                <w:sz w:val="22"/>
                <w:szCs w:val="24"/>
              </w:rPr>
              <w:t>35</w:t>
            </w:r>
            <w:r>
              <w:rPr>
                <w:rFonts w:hint="eastAsia" w:ascii="宋体" w:hAnsi="宋体"/>
                <w:b/>
                <w:sz w:val="22"/>
                <w:szCs w:val="24"/>
              </w:rPr>
              <w:t>分）</w:t>
            </w:r>
          </w:p>
        </w:tc>
      </w:tr>
      <w:tr w14:paraId="256A0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087FAB16">
            <w:pPr>
              <w:numPr>
                <w:ilvl w:val="0"/>
                <w:numId w:val="5"/>
              </w:numPr>
              <w:jc w:val="right"/>
              <w:rPr>
                <w:rFonts w:ascii="宋体" w:hAnsi="宋体"/>
                <w:sz w:val="22"/>
                <w:szCs w:val="24"/>
              </w:rPr>
            </w:pPr>
          </w:p>
        </w:tc>
        <w:tc>
          <w:tcPr>
            <w:tcW w:w="1202" w:type="dxa"/>
            <w:vAlign w:val="center"/>
          </w:tcPr>
          <w:p w14:paraId="41309EDB">
            <w:pPr>
              <w:spacing w:line="300" w:lineRule="exact"/>
              <w:jc w:val="center"/>
              <w:rPr>
                <w:rFonts w:ascii="宋体" w:hAnsi="宋体"/>
                <w:sz w:val="22"/>
                <w:szCs w:val="24"/>
              </w:rPr>
            </w:pPr>
            <w:r>
              <w:rPr>
                <w:rFonts w:hint="eastAsia" w:ascii="宋体" w:hAnsi="宋体"/>
                <w:sz w:val="22"/>
                <w:szCs w:val="24"/>
              </w:rPr>
              <w:t>实施方案</w:t>
            </w:r>
          </w:p>
        </w:tc>
        <w:tc>
          <w:tcPr>
            <w:tcW w:w="4678" w:type="dxa"/>
          </w:tcPr>
          <w:p w14:paraId="6A97FF53">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2F6FADFD">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投标人应当提供项目实施方案，提供得15%，不提供得0%。</w:t>
            </w:r>
          </w:p>
          <w:p w14:paraId="309B0EBC">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在此基础上，考察以下方面：</w:t>
            </w:r>
          </w:p>
          <w:p w14:paraId="32BDB8BB">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（1）实施方案内容是否具体；</w:t>
            </w:r>
          </w:p>
          <w:p w14:paraId="43618DAA">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（2）实施方案内容是否合理；</w:t>
            </w:r>
          </w:p>
          <w:p w14:paraId="64A5F6E2">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（3）实施方案内容呈现出的对重大科技基础设施以及前沿交叉研究平台等重大科研平台相关情况的熟悉程度；</w:t>
            </w:r>
          </w:p>
          <w:p w14:paraId="792B0B69">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（4）实施方案内容是否具有可操作性；</w:t>
            </w:r>
          </w:p>
          <w:p w14:paraId="425F6055">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以上内容进行分档评审：</w:t>
            </w:r>
          </w:p>
          <w:p w14:paraId="701605A0">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1.评价为优（实施方案具体、合理，对重大科研平台相关情况熟悉，可操作性强），得85%；</w:t>
            </w:r>
          </w:p>
          <w:p w14:paraId="30D9D9F3">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评价为良（实施方案具体、合理，对重大科研平台相关情况较为熟悉，可操作性较强），得65%；</w:t>
            </w:r>
          </w:p>
          <w:p w14:paraId="38136E32">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评价为中（实施方案具体、合理，对重大科研平台相关情况熟悉程度一般，可操作性一般），得45%；</w:t>
            </w:r>
          </w:p>
          <w:p w14:paraId="6E25C48D">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评价为差（实施方案不完善，对重大科研平台相关情况不熟悉，不具备可操作性），不得分。</w:t>
            </w:r>
          </w:p>
        </w:tc>
        <w:tc>
          <w:tcPr>
            <w:tcW w:w="850" w:type="dxa"/>
            <w:tcBorders>
              <w:right w:val="single" w:color="auto" w:sz="4" w:space="0"/>
            </w:tcBorders>
            <w:vAlign w:val="center"/>
          </w:tcPr>
          <w:p w14:paraId="0C341FB6">
            <w:pPr>
              <w:jc w:val="center"/>
              <w:rPr>
                <w:rFonts w:ascii="宋体" w:hAnsi="宋体"/>
                <w:sz w:val="22"/>
                <w:szCs w:val="24"/>
              </w:rPr>
            </w:pPr>
            <w:r>
              <w:rPr>
                <w:rFonts w:hint="eastAsia" w:ascii="宋体" w:hAnsi="宋体"/>
                <w:sz w:val="22"/>
                <w:szCs w:val="24"/>
              </w:rPr>
              <w:t>20</w:t>
            </w:r>
          </w:p>
        </w:tc>
        <w:tc>
          <w:tcPr>
            <w:tcW w:w="851" w:type="dxa"/>
            <w:tcBorders>
              <w:left w:val="single" w:color="auto" w:sz="4" w:space="0"/>
            </w:tcBorders>
            <w:vAlign w:val="center"/>
          </w:tcPr>
          <w:p w14:paraId="011D92E9">
            <w:pPr>
              <w:jc w:val="center"/>
              <w:rPr>
                <w:rFonts w:ascii="宋体" w:hAnsi="宋体"/>
                <w:sz w:val="22"/>
                <w:szCs w:val="24"/>
              </w:rPr>
            </w:pPr>
            <w:r>
              <w:rPr>
                <w:rFonts w:hint="eastAsia" w:ascii="宋体" w:hAnsi="宋体"/>
                <w:sz w:val="22"/>
                <w:szCs w:val="24"/>
              </w:rPr>
              <w:t>20</w:t>
            </w:r>
          </w:p>
        </w:tc>
      </w:tr>
      <w:tr w14:paraId="304C3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39B2328C">
            <w:pPr>
              <w:numPr>
                <w:ilvl w:val="0"/>
                <w:numId w:val="5"/>
              </w:numPr>
              <w:jc w:val="right"/>
              <w:rPr>
                <w:rFonts w:ascii="宋体" w:hAnsi="宋体"/>
                <w:sz w:val="22"/>
                <w:szCs w:val="24"/>
              </w:rPr>
            </w:pPr>
          </w:p>
        </w:tc>
        <w:tc>
          <w:tcPr>
            <w:tcW w:w="1202" w:type="dxa"/>
            <w:vAlign w:val="center"/>
          </w:tcPr>
          <w:p w14:paraId="30D7A4ED">
            <w:pPr>
              <w:spacing w:line="300" w:lineRule="exact"/>
              <w:jc w:val="center"/>
              <w:rPr>
                <w:rFonts w:ascii="宋体" w:hAnsi="宋体"/>
                <w:sz w:val="22"/>
                <w:szCs w:val="24"/>
              </w:rPr>
            </w:pPr>
            <w:r>
              <w:rPr>
                <w:rFonts w:hint="eastAsia" w:ascii="宋体" w:hAnsi="宋体"/>
                <w:sz w:val="22"/>
                <w:szCs w:val="24"/>
              </w:rPr>
              <w:t>项目重难点分析及应对措施</w:t>
            </w:r>
          </w:p>
        </w:tc>
        <w:tc>
          <w:tcPr>
            <w:tcW w:w="4678" w:type="dxa"/>
          </w:tcPr>
          <w:p w14:paraId="2D3EB188">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303F14C7">
            <w:pPr>
              <w:spacing w:line="300" w:lineRule="exact"/>
              <w:jc w:val="left"/>
              <w:rPr>
                <w:rFonts w:ascii="宋体" w:hAnsi="宋体" w:cs="宋体"/>
                <w:kern w:val="0"/>
                <w:sz w:val="22"/>
                <w:szCs w:val="24"/>
              </w:rPr>
            </w:pPr>
            <w:r>
              <w:rPr>
                <w:rFonts w:hint="eastAsia" w:ascii="宋体" w:hAnsi="宋体" w:cs="宋体"/>
                <w:kern w:val="0"/>
                <w:sz w:val="22"/>
                <w:szCs w:val="24"/>
              </w:rPr>
              <w:t>投标人应当提供项目重难点分析和相关应对措施，提供得30%，不提供不得分。</w:t>
            </w:r>
          </w:p>
          <w:p w14:paraId="690678FB">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在此基础上，考察以下方面：</w:t>
            </w:r>
          </w:p>
          <w:p w14:paraId="1C588165">
            <w:pPr>
              <w:spacing w:line="300" w:lineRule="exact"/>
              <w:jc w:val="left"/>
              <w:rPr>
                <w:rFonts w:ascii="宋体" w:hAnsi="宋体" w:cs="宋体"/>
                <w:kern w:val="0"/>
                <w:sz w:val="22"/>
                <w:szCs w:val="24"/>
              </w:rPr>
            </w:pPr>
            <w:r>
              <w:rPr>
                <w:rFonts w:hint="eastAsia" w:ascii="宋体" w:hAnsi="宋体" w:cs="宋体"/>
                <w:kern w:val="0"/>
                <w:sz w:val="22"/>
                <w:szCs w:val="24"/>
              </w:rPr>
              <w:t>（1）重难点分析及应对措施是否具体、科学、合理；</w:t>
            </w:r>
          </w:p>
          <w:p w14:paraId="367EE22C">
            <w:pPr>
              <w:spacing w:line="300" w:lineRule="exact"/>
              <w:jc w:val="left"/>
              <w:rPr>
                <w:rFonts w:ascii="宋体" w:hAnsi="宋体" w:cs="宋体"/>
                <w:kern w:val="0"/>
                <w:sz w:val="22"/>
                <w:szCs w:val="24"/>
              </w:rPr>
            </w:pPr>
            <w:r>
              <w:rPr>
                <w:rFonts w:hint="eastAsia" w:ascii="宋体" w:hAnsi="宋体" w:cs="宋体"/>
                <w:kern w:val="0"/>
                <w:sz w:val="22"/>
                <w:szCs w:val="24"/>
              </w:rPr>
              <w:t>（2）重难点分析及应对措施是否具备针对性和可操作性；</w:t>
            </w:r>
          </w:p>
          <w:p w14:paraId="4C8113A9">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以上内容进行分档评审：</w:t>
            </w:r>
          </w:p>
          <w:p w14:paraId="716F6397">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1.评价为优（重难点分析及应对措施具体、科学、合理，针对性和可操作性强），得70%；</w:t>
            </w:r>
          </w:p>
          <w:p w14:paraId="3202E20C">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评价为良（重难点分析及应对措施具体、科学、合理，针对性和可操作性较强），得50%；</w:t>
            </w:r>
          </w:p>
          <w:p w14:paraId="1B055DBF">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评价为中（重难点分析及应对措施具体、科学、合理，针对性和可操作性一般），得30%；</w:t>
            </w:r>
          </w:p>
          <w:p w14:paraId="30ED6643">
            <w:pPr>
              <w:spacing w:line="300" w:lineRule="exact"/>
              <w:jc w:val="left"/>
              <w:rPr>
                <w:rFonts w:ascii="宋体" w:hAnsi="宋体" w:cs="宋体"/>
                <w:b/>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评价为差（重难点分析及应对措施不完善），不得分。</w:t>
            </w:r>
          </w:p>
        </w:tc>
        <w:tc>
          <w:tcPr>
            <w:tcW w:w="850" w:type="dxa"/>
            <w:tcBorders>
              <w:right w:val="single" w:color="auto" w:sz="4" w:space="0"/>
            </w:tcBorders>
            <w:vAlign w:val="center"/>
          </w:tcPr>
          <w:p w14:paraId="40F39418">
            <w:pPr>
              <w:jc w:val="center"/>
              <w:rPr>
                <w:rFonts w:ascii="宋体" w:hAnsi="宋体"/>
                <w:sz w:val="22"/>
                <w:szCs w:val="24"/>
              </w:rPr>
            </w:pPr>
            <w:r>
              <w:rPr>
                <w:rFonts w:hint="eastAsia" w:ascii="宋体" w:hAnsi="宋体"/>
                <w:sz w:val="22"/>
                <w:szCs w:val="24"/>
              </w:rPr>
              <w:t>10</w:t>
            </w:r>
          </w:p>
        </w:tc>
        <w:tc>
          <w:tcPr>
            <w:tcW w:w="851" w:type="dxa"/>
            <w:tcBorders>
              <w:left w:val="single" w:color="auto" w:sz="4" w:space="0"/>
            </w:tcBorders>
            <w:vAlign w:val="center"/>
          </w:tcPr>
          <w:p w14:paraId="6487F9FF">
            <w:pPr>
              <w:jc w:val="center"/>
              <w:rPr>
                <w:rFonts w:ascii="宋体" w:hAnsi="宋体"/>
                <w:sz w:val="22"/>
                <w:szCs w:val="24"/>
              </w:rPr>
            </w:pPr>
            <w:r>
              <w:rPr>
                <w:rFonts w:hint="eastAsia" w:ascii="宋体" w:hAnsi="宋体"/>
                <w:sz w:val="22"/>
                <w:szCs w:val="24"/>
              </w:rPr>
              <w:t>10</w:t>
            </w:r>
          </w:p>
        </w:tc>
      </w:tr>
      <w:tr w14:paraId="5263D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558D26C0">
            <w:pPr>
              <w:numPr>
                <w:ilvl w:val="0"/>
                <w:numId w:val="5"/>
              </w:numPr>
              <w:jc w:val="right"/>
              <w:rPr>
                <w:rFonts w:ascii="宋体" w:hAnsi="宋体"/>
                <w:sz w:val="22"/>
                <w:szCs w:val="24"/>
              </w:rPr>
            </w:pPr>
          </w:p>
        </w:tc>
        <w:tc>
          <w:tcPr>
            <w:tcW w:w="1202" w:type="dxa"/>
            <w:vAlign w:val="center"/>
          </w:tcPr>
          <w:p w14:paraId="0A21DD7D">
            <w:pPr>
              <w:spacing w:line="300" w:lineRule="exact"/>
              <w:jc w:val="center"/>
              <w:rPr>
                <w:rFonts w:ascii="宋体" w:hAnsi="宋体"/>
                <w:sz w:val="22"/>
                <w:szCs w:val="24"/>
              </w:rPr>
            </w:pPr>
            <w:r>
              <w:rPr>
                <w:rFonts w:hint="eastAsia" w:ascii="宋体" w:hAnsi="宋体"/>
                <w:sz w:val="22"/>
                <w:szCs w:val="24"/>
              </w:rPr>
              <w:t>质量保障措施及方案</w:t>
            </w:r>
          </w:p>
        </w:tc>
        <w:tc>
          <w:tcPr>
            <w:tcW w:w="4678" w:type="dxa"/>
          </w:tcPr>
          <w:p w14:paraId="162C60DC">
            <w:pPr>
              <w:spacing w:line="300" w:lineRule="exact"/>
              <w:jc w:val="left"/>
              <w:rPr>
                <w:rFonts w:ascii="宋体" w:hAnsi="宋体" w:cs="宋体"/>
                <w:kern w:val="0"/>
                <w:sz w:val="22"/>
                <w:szCs w:val="24"/>
              </w:rPr>
            </w:pPr>
            <w:r>
              <w:rPr>
                <w:rFonts w:hint="eastAsia" w:ascii="宋体" w:hAnsi="宋体" w:cs="宋体"/>
                <w:kern w:val="0"/>
                <w:sz w:val="22"/>
                <w:szCs w:val="24"/>
              </w:rPr>
              <w:t>根据投标人对项目进度计划和人员安排、质量和进度保障措施是否合理、可行等进行分档评审：</w:t>
            </w:r>
          </w:p>
          <w:p w14:paraId="002B2B84">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1</w:t>
            </w:r>
            <w:r>
              <w:rPr>
                <w:rFonts w:ascii="宋体" w:hAnsi="宋体" w:cs="宋体"/>
                <w:kern w:val="0"/>
                <w:sz w:val="22"/>
                <w:szCs w:val="24"/>
              </w:rPr>
              <w:t>.</w:t>
            </w:r>
            <w:r>
              <w:rPr>
                <w:rFonts w:hint="eastAsia" w:ascii="宋体" w:hAnsi="宋体" w:cs="宋体"/>
                <w:kern w:val="0"/>
                <w:sz w:val="22"/>
                <w:szCs w:val="24"/>
              </w:rPr>
              <w:t>评价为优，得100%；</w:t>
            </w:r>
          </w:p>
          <w:p w14:paraId="79BA2C57">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评价为良，得70%；</w:t>
            </w:r>
          </w:p>
          <w:p w14:paraId="0274EA1A">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评价为中，得40%；</w:t>
            </w:r>
          </w:p>
          <w:p w14:paraId="5B2081F8">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vAlign w:val="center"/>
          </w:tcPr>
          <w:p w14:paraId="0A77B7C8">
            <w:pPr>
              <w:jc w:val="center"/>
              <w:rPr>
                <w:rFonts w:ascii="宋体" w:hAnsi="宋体"/>
                <w:sz w:val="22"/>
                <w:szCs w:val="24"/>
              </w:rPr>
            </w:pPr>
            <w:r>
              <w:rPr>
                <w:rFonts w:hint="eastAsia" w:ascii="宋体" w:hAnsi="宋体"/>
                <w:sz w:val="22"/>
                <w:szCs w:val="24"/>
              </w:rPr>
              <w:t>5</w:t>
            </w:r>
          </w:p>
        </w:tc>
        <w:tc>
          <w:tcPr>
            <w:tcW w:w="851" w:type="dxa"/>
            <w:tcBorders>
              <w:left w:val="single" w:color="auto" w:sz="4" w:space="0"/>
            </w:tcBorders>
            <w:vAlign w:val="center"/>
          </w:tcPr>
          <w:p w14:paraId="7FC53ED0">
            <w:pPr>
              <w:jc w:val="center"/>
              <w:rPr>
                <w:rFonts w:ascii="宋体" w:hAnsi="宋体"/>
                <w:sz w:val="22"/>
                <w:szCs w:val="24"/>
              </w:rPr>
            </w:pPr>
            <w:r>
              <w:rPr>
                <w:rFonts w:hint="eastAsia" w:ascii="宋体" w:hAnsi="宋体"/>
                <w:sz w:val="22"/>
                <w:szCs w:val="24"/>
              </w:rPr>
              <w:t>5</w:t>
            </w:r>
          </w:p>
        </w:tc>
      </w:tr>
      <w:tr w14:paraId="0CB00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663F6309">
            <w:pPr>
              <w:numPr>
                <w:ilvl w:val="0"/>
                <w:numId w:val="5"/>
              </w:numPr>
              <w:jc w:val="right"/>
              <w:rPr>
                <w:rFonts w:ascii="宋体" w:hAnsi="宋体"/>
                <w:sz w:val="22"/>
                <w:szCs w:val="24"/>
              </w:rPr>
            </w:pPr>
          </w:p>
        </w:tc>
        <w:tc>
          <w:tcPr>
            <w:tcW w:w="1202" w:type="dxa"/>
            <w:vAlign w:val="center"/>
          </w:tcPr>
          <w:p w14:paraId="50099929">
            <w:pPr>
              <w:spacing w:line="300" w:lineRule="exact"/>
              <w:jc w:val="center"/>
              <w:rPr>
                <w:rFonts w:ascii="宋体" w:hAnsi="宋体"/>
                <w:sz w:val="22"/>
                <w:szCs w:val="24"/>
              </w:rPr>
            </w:pPr>
            <w:r>
              <w:rPr>
                <w:rFonts w:hint="eastAsia" w:ascii="宋体" w:hAnsi="宋体"/>
                <w:sz w:val="22"/>
                <w:szCs w:val="24"/>
              </w:rPr>
              <w:t>违约承诺</w:t>
            </w:r>
          </w:p>
        </w:tc>
        <w:tc>
          <w:tcPr>
            <w:tcW w:w="4678" w:type="dxa"/>
          </w:tcPr>
          <w:p w14:paraId="2AE9E2B5">
            <w:pPr>
              <w:spacing w:line="300" w:lineRule="exact"/>
              <w:jc w:val="left"/>
              <w:rPr>
                <w:rFonts w:ascii="宋体" w:hAnsi="宋体" w:cs="宋体"/>
                <w:kern w:val="0"/>
                <w:sz w:val="22"/>
                <w:szCs w:val="24"/>
              </w:rPr>
            </w:pPr>
            <w:r>
              <w:rPr>
                <w:rFonts w:hint="eastAsia" w:ascii="宋体" w:hAnsi="宋体" w:cs="宋体"/>
                <w:kern w:val="0"/>
                <w:sz w:val="22"/>
                <w:szCs w:val="24"/>
              </w:rPr>
              <w:t>提供违约承诺，承诺满足招标文件要求，保证措施合理且有针对性，有具体的违约责任承诺。</w:t>
            </w:r>
          </w:p>
          <w:p w14:paraId="123B5CBD">
            <w:pPr>
              <w:spacing w:line="300" w:lineRule="exact"/>
              <w:jc w:val="left"/>
              <w:rPr>
                <w:rFonts w:ascii="宋体" w:hAnsi="宋体" w:cs="宋体"/>
                <w:kern w:val="0"/>
                <w:sz w:val="22"/>
                <w:szCs w:val="24"/>
              </w:rPr>
            </w:pPr>
            <w:r>
              <w:rPr>
                <w:rFonts w:hint="eastAsia" w:ascii="宋体" w:hAnsi="宋体" w:cs="宋体"/>
                <w:kern w:val="0"/>
                <w:sz w:val="22"/>
                <w:szCs w:val="24"/>
              </w:rPr>
              <w:t>投标人提供违约承诺得100%。要求提供承诺（格式自定）作为得分依据，未提供承诺或承诺内容不满足要求不得分。</w:t>
            </w:r>
          </w:p>
        </w:tc>
        <w:tc>
          <w:tcPr>
            <w:tcW w:w="850" w:type="dxa"/>
            <w:tcBorders>
              <w:right w:val="single" w:color="auto" w:sz="4" w:space="0"/>
            </w:tcBorders>
            <w:vAlign w:val="center"/>
          </w:tcPr>
          <w:p w14:paraId="417032B5">
            <w:pPr>
              <w:jc w:val="center"/>
              <w:rPr>
                <w:rFonts w:ascii="宋体" w:hAnsi="宋体"/>
                <w:sz w:val="22"/>
                <w:szCs w:val="24"/>
              </w:rPr>
            </w:pPr>
            <w:r>
              <w:rPr>
                <w:rFonts w:ascii="宋体" w:hAnsi="宋体"/>
                <w:sz w:val="22"/>
                <w:szCs w:val="24"/>
              </w:rPr>
              <w:t>5</w:t>
            </w:r>
          </w:p>
        </w:tc>
        <w:tc>
          <w:tcPr>
            <w:tcW w:w="851" w:type="dxa"/>
            <w:tcBorders>
              <w:left w:val="single" w:color="auto" w:sz="4" w:space="0"/>
            </w:tcBorders>
            <w:vAlign w:val="center"/>
          </w:tcPr>
          <w:p w14:paraId="339C0004">
            <w:pPr>
              <w:jc w:val="center"/>
              <w:rPr>
                <w:rFonts w:ascii="宋体" w:hAnsi="宋体"/>
                <w:sz w:val="22"/>
                <w:szCs w:val="24"/>
              </w:rPr>
            </w:pPr>
            <w:r>
              <w:rPr>
                <w:rFonts w:ascii="宋体" w:hAnsi="宋体"/>
                <w:sz w:val="22"/>
                <w:szCs w:val="24"/>
              </w:rPr>
              <w:t>5</w:t>
            </w:r>
          </w:p>
        </w:tc>
      </w:tr>
      <w:tr w14:paraId="619BA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2C7C3A4C">
            <w:pPr>
              <w:ind w:left="-78" w:leftChars="-37" w:right="-73" w:rightChars="-35"/>
              <w:jc w:val="center"/>
              <w:rPr>
                <w:rFonts w:ascii="宋体" w:hAnsi="宋体" w:cs="宋体"/>
                <w:b/>
                <w:sz w:val="22"/>
                <w:szCs w:val="24"/>
              </w:rPr>
            </w:pPr>
            <w:r>
              <w:rPr>
                <w:rFonts w:hint="eastAsia" w:ascii="宋体" w:hAnsi="宋体" w:cs="宋体"/>
                <w:b/>
                <w:sz w:val="22"/>
                <w:szCs w:val="24"/>
              </w:rPr>
              <w:t>二</w:t>
            </w:r>
          </w:p>
        </w:tc>
        <w:tc>
          <w:tcPr>
            <w:tcW w:w="7581" w:type="dxa"/>
            <w:gridSpan w:val="4"/>
            <w:vAlign w:val="center"/>
          </w:tcPr>
          <w:p w14:paraId="50737F5A">
            <w:pPr>
              <w:spacing w:line="300" w:lineRule="exact"/>
              <w:ind w:left="-78" w:leftChars="-37" w:right="-73" w:rightChars="-35"/>
              <w:jc w:val="center"/>
              <w:rPr>
                <w:rFonts w:ascii="宋体" w:hAnsi="宋体" w:cs="宋体"/>
                <w:b/>
                <w:sz w:val="22"/>
                <w:szCs w:val="24"/>
              </w:rPr>
            </w:pPr>
            <w:r>
              <w:rPr>
                <w:rFonts w:hint="eastAsia" w:ascii="宋体" w:hAnsi="宋体" w:cs="宋体"/>
                <w:b/>
                <w:sz w:val="22"/>
                <w:szCs w:val="24"/>
              </w:rPr>
              <w:t>商务部分</w:t>
            </w:r>
            <w:r>
              <w:rPr>
                <w:rFonts w:hint="eastAsia" w:ascii="宋体" w:hAnsi="宋体"/>
                <w:b/>
                <w:sz w:val="22"/>
                <w:szCs w:val="24"/>
              </w:rPr>
              <w:t>（合计5</w:t>
            </w:r>
            <w:r>
              <w:rPr>
                <w:rFonts w:ascii="宋体" w:hAnsi="宋体"/>
                <w:b/>
                <w:sz w:val="22"/>
                <w:szCs w:val="24"/>
              </w:rPr>
              <w:t>5</w:t>
            </w:r>
            <w:r>
              <w:rPr>
                <w:rFonts w:hint="eastAsia" w:ascii="宋体" w:hAnsi="宋体"/>
                <w:b/>
                <w:sz w:val="22"/>
                <w:szCs w:val="24"/>
              </w:rPr>
              <w:t>分）</w:t>
            </w:r>
          </w:p>
        </w:tc>
      </w:tr>
      <w:tr w14:paraId="06782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133DA6E">
            <w:pPr>
              <w:numPr>
                <w:ilvl w:val="0"/>
                <w:numId w:val="6"/>
              </w:numPr>
              <w:jc w:val="center"/>
              <w:rPr>
                <w:rFonts w:ascii="宋体" w:hAnsi="宋体"/>
                <w:sz w:val="22"/>
                <w:szCs w:val="24"/>
              </w:rPr>
            </w:pPr>
          </w:p>
        </w:tc>
        <w:tc>
          <w:tcPr>
            <w:tcW w:w="1202" w:type="dxa"/>
            <w:vAlign w:val="center"/>
          </w:tcPr>
          <w:p w14:paraId="275357DD">
            <w:pPr>
              <w:spacing w:line="300" w:lineRule="exact"/>
              <w:jc w:val="center"/>
              <w:rPr>
                <w:rFonts w:ascii="宋体" w:hAnsi="宋体"/>
                <w:sz w:val="22"/>
                <w:szCs w:val="24"/>
              </w:rPr>
            </w:pPr>
            <w:r>
              <w:rPr>
                <w:rFonts w:hint="eastAsia" w:ascii="宋体" w:hAnsi="宋体"/>
                <w:sz w:val="22"/>
                <w:szCs w:val="24"/>
              </w:rPr>
              <w:t>投标人经验</w:t>
            </w:r>
          </w:p>
        </w:tc>
        <w:tc>
          <w:tcPr>
            <w:tcW w:w="4678" w:type="dxa"/>
          </w:tcPr>
          <w:p w14:paraId="290EAA8C">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4C1AAE92">
            <w:pPr>
              <w:spacing w:line="300" w:lineRule="exact"/>
              <w:rPr>
                <w:rFonts w:ascii="宋体" w:hAnsi="宋体" w:cs="宋体"/>
                <w:kern w:val="0"/>
                <w:sz w:val="22"/>
                <w:szCs w:val="24"/>
              </w:rPr>
            </w:pPr>
            <w:r>
              <w:rPr>
                <w:rFonts w:hint="eastAsia" w:ascii="宋体" w:hAnsi="宋体" w:cs="宋体"/>
                <w:kern w:val="0"/>
                <w:sz w:val="22"/>
                <w:szCs w:val="24"/>
              </w:rPr>
              <w:t>投标人近5年（本项目开标之日往前5年，以合同签订日期为准）：</w:t>
            </w:r>
          </w:p>
          <w:p w14:paraId="77DF8C88">
            <w:pPr>
              <w:spacing w:line="300" w:lineRule="exact"/>
              <w:rPr>
                <w:rFonts w:ascii="宋体" w:hAnsi="宋体" w:cs="宋体"/>
                <w:kern w:val="0"/>
                <w:sz w:val="22"/>
                <w:szCs w:val="24"/>
              </w:rPr>
            </w:pPr>
            <w:r>
              <w:rPr>
                <w:rFonts w:hint="eastAsia" w:ascii="宋体" w:hAnsi="宋体" w:cs="宋体"/>
                <w:kern w:val="0"/>
                <w:sz w:val="22"/>
                <w:szCs w:val="24"/>
              </w:rPr>
              <w:t>（1）承担过国家级课题研究的，每提供1个，得20%，满分40%；</w:t>
            </w:r>
          </w:p>
          <w:p w14:paraId="7BDCE095">
            <w:pPr>
              <w:spacing w:line="300" w:lineRule="exact"/>
              <w:rPr>
                <w:rFonts w:ascii="宋体" w:hAnsi="宋体" w:cs="宋体"/>
                <w:kern w:val="0"/>
                <w:sz w:val="22"/>
                <w:szCs w:val="24"/>
              </w:rPr>
            </w:pPr>
            <w:r>
              <w:rPr>
                <w:rFonts w:hint="eastAsia" w:ascii="宋体" w:hAnsi="宋体" w:cs="宋体"/>
                <w:kern w:val="0"/>
                <w:sz w:val="22"/>
                <w:szCs w:val="24"/>
              </w:rPr>
              <w:t xml:space="preserve">（2）承担过市级课题研究的，每提供1个，得15%，满分60%； </w:t>
            </w:r>
          </w:p>
          <w:p w14:paraId="087A31F1">
            <w:pPr>
              <w:spacing w:line="300" w:lineRule="exact"/>
              <w:rPr>
                <w:rFonts w:ascii="宋体" w:hAnsi="宋体" w:cs="宋体"/>
                <w:kern w:val="0"/>
                <w:sz w:val="22"/>
                <w:szCs w:val="24"/>
                <w:highlight w:val="yellow"/>
              </w:rPr>
            </w:pPr>
            <w:r>
              <w:rPr>
                <w:rFonts w:hint="eastAsia" w:ascii="宋体" w:hAnsi="宋体" w:cs="宋体"/>
                <w:kern w:val="0"/>
                <w:sz w:val="22"/>
                <w:szCs w:val="24"/>
              </w:rPr>
              <w:t>若同一项目满足上述两项要求的，不可重复计分。</w:t>
            </w:r>
          </w:p>
          <w:p w14:paraId="67D70157">
            <w:pPr>
              <w:spacing w:line="300" w:lineRule="exact"/>
              <w:rPr>
                <w:rFonts w:ascii="宋体" w:hAnsi="宋体" w:cs="宋体"/>
                <w:kern w:val="0"/>
                <w:sz w:val="22"/>
                <w:szCs w:val="24"/>
              </w:rPr>
            </w:pPr>
            <w:r>
              <w:rPr>
                <w:rFonts w:hint="eastAsia" w:ascii="宋体" w:hAnsi="宋体" w:cs="宋体"/>
                <w:kern w:val="0"/>
                <w:sz w:val="22"/>
                <w:szCs w:val="24"/>
              </w:rPr>
              <w:t xml:space="preserve">（二）评分依据： </w:t>
            </w:r>
          </w:p>
          <w:p w14:paraId="48D1610B">
            <w:pPr>
              <w:spacing w:line="300" w:lineRule="exact"/>
              <w:rPr>
                <w:rFonts w:ascii="宋体" w:hAnsi="宋体" w:cs="宋体"/>
                <w:kern w:val="0"/>
                <w:sz w:val="22"/>
                <w:szCs w:val="24"/>
              </w:rPr>
            </w:pPr>
            <w:r>
              <w:rPr>
                <w:rFonts w:hint="eastAsia" w:ascii="宋体" w:hAnsi="宋体" w:cs="宋体"/>
                <w:kern w:val="0"/>
                <w:sz w:val="22"/>
                <w:szCs w:val="24"/>
              </w:rPr>
              <w:t>要求提供合同关键页扫描件，需盖有合同甲方公章或甲方业务章；</w:t>
            </w:r>
          </w:p>
          <w:p w14:paraId="4282C325">
            <w:pPr>
              <w:spacing w:line="300" w:lineRule="exact"/>
              <w:rPr>
                <w:rFonts w:ascii="宋体" w:hAnsi="宋体" w:cs="宋体"/>
                <w:kern w:val="0"/>
                <w:sz w:val="22"/>
                <w:szCs w:val="24"/>
                <w:highlight w:val="yellow"/>
              </w:rPr>
            </w:pPr>
            <w:r>
              <w:rPr>
                <w:rFonts w:hint="eastAsia" w:ascii="宋体" w:hAnsi="宋体" w:cs="宋体"/>
                <w:kern w:val="0"/>
                <w:sz w:val="22"/>
                <w:szCs w:val="24"/>
              </w:rPr>
              <w:t>以上资料均要求提供扫描件，原件备查。评分中出现无证明资料或专家无法凭所提供资料判断是否得分的情况，一律作不得分处理。</w:t>
            </w:r>
          </w:p>
          <w:p w14:paraId="76DA5DE4">
            <w:pPr>
              <w:spacing w:line="300" w:lineRule="exact"/>
              <w:ind w:left="-63" w:leftChars="-30" w:right="-88" w:rightChars="-42"/>
              <w:rPr>
                <w:rFonts w:ascii="宋体" w:hAnsi="宋体" w:cs="宋体"/>
                <w:kern w:val="0"/>
                <w:sz w:val="22"/>
                <w:szCs w:val="24"/>
              </w:rPr>
            </w:pPr>
          </w:p>
        </w:tc>
        <w:tc>
          <w:tcPr>
            <w:tcW w:w="850" w:type="dxa"/>
            <w:tcBorders>
              <w:right w:val="single" w:color="auto" w:sz="4" w:space="0"/>
            </w:tcBorders>
            <w:vAlign w:val="center"/>
          </w:tcPr>
          <w:p w14:paraId="7AA39378">
            <w:pPr>
              <w:jc w:val="center"/>
              <w:rPr>
                <w:rFonts w:ascii="宋体" w:hAnsi="宋体"/>
                <w:sz w:val="22"/>
                <w:szCs w:val="24"/>
              </w:rPr>
            </w:pPr>
            <w:r>
              <w:rPr>
                <w:rFonts w:hint="eastAsia" w:ascii="宋体" w:hAnsi="宋体"/>
                <w:sz w:val="22"/>
                <w:szCs w:val="24"/>
              </w:rPr>
              <w:t>25</w:t>
            </w:r>
          </w:p>
        </w:tc>
        <w:tc>
          <w:tcPr>
            <w:tcW w:w="851" w:type="dxa"/>
            <w:tcBorders>
              <w:left w:val="single" w:color="auto" w:sz="4" w:space="0"/>
            </w:tcBorders>
            <w:vAlign w:val="center"/>
          </w:tcPr>
          <w:p w14:paraId="06DEB7EF">
            <w:pPr>
              <w:jc w:val="center"/>
              <w:rPr>
                <w:rFonts w:ascii="宋体" w:hAnsi="宋体"/>
                <w:sz w:val="22"/>
                <w:szCs w:val="24"/>
              </w:rPr>
            </w:pPr>
            <w:r>
              <w:rPr>
                <w:rFonts w:hint="eastAsia" w:ascii="宋体" w:hAnsi="宋体"/>
                <w:sz w:val="22"/>
                <w:szCs w:val="24"/>
              </w:rPr>
              <w:t>25</w:t>
            </w:r>
          </w:p>
        </w:tc>
      </w:tr>
      <w:tr w14:paraId="51FE9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8B94352">
            <w:pPr>
              <w:numPr>
                <w:ilvl w:val="0"/>
                <w:numId w:val="6"/>
              </w:numPr>
              <w:jc w:val="center"/>
              <w:rPr>
                <w:rFonts w:ascii="宋体" w:hAnsi="宋体"/>
                <w:sz w:val="22"/>
                <w:szCs w:val="24"/>
              </w:rPr>
            </w:pPr>
          </w:p>
        </w:tc>
        <w:tc>
          <w:tcPr>
            <w:tcW w:w="1202" w:type="dxa"/>
            <w:vAlign w:val="center"/>
          </w:tcPr>
          <w:p w14:paraId="1F302301">
            <w:pPr>
              <w:spacing w:line="300" w:lineRule="exact"/>
              <w:jc w:val="center"/>
              <w:rPr>
                <w:rFonts w:ascii="宋体" w:hAnsi="宋体"/>
                <w:sz w:val="22"/>
                <w:szCs w:val="24"/>
              </w:rPr>
            </w:pPr>
            <w:r>
              <w:rPr>
                <w:rFonts w:hint="eastAsia" w:ascii="宋体" w:hAnsi="宋体"/>
                <w:sz w:val="22"/>
                <w:szCs w:val="24"/>
              </w:rPr>
              <w:t>投标人获奖情况</w:t>
            </w:r>
          </w:p>
        </w:tc>
        <w:tc>
          <w:tcPr>
            <w:tcW w:w="4678" w:type="dxa"/>
          </w:tcPr>
          <w:p w14:paraId="14F710E5">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43A5E8E8">
            <w:pPr>
              <w:spacing w:line="300" w:lineRule="exact"/>
              <w:rPr>
                <w:rFonts w:ascii="宋体" w:hAnsi="宋体" w:cs="宋体"/>
                <w:kern w:val="0"/>
                <w:sz w:val="22"/>
                <w:szCs w:val="24"/>
              </w:rPr>
            </w:pPr>
            <w:r>
              <w:rPr>
                <w:rFonts w:hint="eastAsia" w:ascii="宋体" w:hAnsi="宋体" w:cs="宋体"/>
                <w:kern w:val="0"/>
                <w:sz w:val="22"/>
                <w:szCs w:val="24"/>
              </w:rPr>
              <w:t>（1）投标人曾获得国家级“优秀课题”或“优秀研究成果”等奖项的，提供1项得30%；</w:t>
            </w:r>
          </w:p>
          <w:p w14:paraId="2FF13C83">
            <w:pPr>
              <w:spacing w:line="300" w:lineRule="exact"/>
              <w:rPr>
                <w:rFonts w:ascii="宋体" w:hAnsi="宋体" w:cs="宋体"/>
                <w:kern w:val="0"/>
                <w:sz w:val="22"/>
                <w:szCs w:val="24"/>
              </w:rPr>
            </w:pPr>
            <w:r>
              <w:rPr>
                <w:rFonts w:hint="eastAsia" w:ascii="宋体" w:hAnsi="宋体" w:cs="宋体"/>
                <w:kern w:val="0"/>
                <w:sz w:val="22"/>
                <w:szCs w:val="24"/>
              </w:rPr>
              <w:t>（2）投标人曾获得省、市级“优秀课题”或“优秀研究成果”等奖项的，提供1项得20%；</w:t>
            </w:r>
          </w:p>
          <w:p w14:paraId="5CB9BEFA">
            <w:pPr>
              <w:spacing w:line="300" w:lineRule="exact"/>
              <w:rPr>
                <w:rFonts w:ascii="宋体" w:hAnsi="宋体" w:cs="宋体"/>
                <w:kern w:val="0"/>
                <w:sz w:val="22"/>
                <w:szCs w:val="24"/>
              </w:rPr>
            </w:pPr>
            <w:r>
              <w:rPr>
                <w:rFonts w:hint="eastAsia" w:ascii="宋体" w:hAnsi="宋体" w:cs="宋体"/>
                <w:kern w:val="0"/>
                <w:sz w:val="22"/>
                <w:szCs w:val="24"/>
              </w:rPr>
              <w:t>（3）最高得分不超过100%。</w:t>
            </w:r>
          </w:p>
          <w:p w14:paraId="5574AED4">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7AEBC80E">
            <w:pPr>
              <w:spacing w:line="300" w:lineRule="exact"/>
              <w:jc w:val="left"/>
              <w:rPr>
                <w:rFonts w:ascii="宋体" w:hAnsi="宋体" w:cs="宋体"/>
                <w:b/>
                <w:kern w:val="0"/>
                <w:sz w:val="22"/>
                <w:szCs w:val="24"/>
              </w:rPr>
            </w:pPr>
            <w:r>
              <w:rPr>
                <w:rFonts w:hint="eastAsia" w:ascii="宋体" w:hAnsi="宋体" w:cs="宋体"/>
                <w:kern w:val="0"/>
                <w:sz w:val="22"/>
                <w:szCs w:val="24"/>
              </w:rPr>
              <w:t>提供相关证书扫描件。未按要求提供相关材料或扫描件，不清晰导致无法识别的不得分。证书上须有“优秀课题”或“优秀研究成果”等字眼。</w:t>
            </w:r>
          </w:p>
        </w:tc>
        <w:tc>
          <w:tcPr>
            <w:tcW w:w="850" w:type="dxa"/>
            <w:tcBorders>
              <w:right w:val="single" w:color="auto" w:sz="4" w:space="0"/>
            </w:tcBorders>
            <w:vAlign w:val="center"/>
          </w:tcPr>
          <w:p w14:paraId="7B2D8681">
            <w:pPr>
              <w:jc w:val="center"/>
              <w:rPr>
                <w:rFonts w:ascii="宋体" w:hAnsi="宋体"/>
                <w:sz w:val="22"/>
                <w:szCs w:val="24"/>
              </w:rPr>
            </w:pPr>
            <w:r>
              <w:rPr>
                <w:rFonts w:hint="eastAsia" w:ascii="宋体" w:hAnsi="宋体"/>
                <w:sz w:val="22"/>
                <w:szCs w:val="24"/>
              </w:rPr>
              <w:t>10</w:t>
            </w:r>
          </w:p>
        </w:tc>
        <w:tc>
          <w:tcPr>
            <w:tcW w:w="851" w:type="dxa"/>
            <w:tcBorders>
              <w:left w:val="single" w:color="auto" w:sz="4" w:space="0"/>
            </w:tcBorders>
            <w:vAlign w:val="center"/>
          </w:tcPr>
          <w:p w14:paraId="3DC74397">
            <w:pPr>
              <w:jc w:val="center"/>
              <w:rPr>
                <w:rFonts w:ascii="宋体" w:hAnsi="宋体"/>
                <w:sz w:val="22"/>
                <w:szCs w:val="24"/>
              </w:rPr>
            </w:pPr>
            <w:r>
              <w:rPr>
                <w:rFonts w:hint="eastAsia" w:ascii="宋体" w:hAnsi="宋体"/>
                <w:sz w:val="22"/>
                <w:szCs w:val="24"/>
              </w:rPr>
              <w:t>10</w:t>
            </w:r>
          </w:p>
        </w:tc>
      </w:tr>
      <w:tr w14:paraId="3F23C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10E7C3A5">
            <w:pPr>
              <w:numPr>
                <w:ilvl w:val="0"/>
                <w:numId w:val="6"/>
              </w:numPr>
              <w:jc w:val="center"/>
              <w:rPr>
                <w:rFonts w:ascii="宋体" w:hAnsi="宋体"/>
                <w:sz w:val="22"/>
                <w:szCs w:val="24"/>
              </w:rPr>
            </w:pPr>
          </w:p>
        </w:tc>
        <w:tc>
          <w:tcPr>
            <w:tcW w:w="1202" w:type="dxa"/>
            <w:vAlign w:val="center"/>
          </w:tcPr>
          <w:p w14:paraId="40017ADD">
            <w:pPr>
              <w:spacing w:line="300" w:lineRule="exact"/>
              <w:jc w:val="center"/>
              <w:rPr>
                <w:rFonts w:ascii="宋体" w:hAnsi="宋体"/>
                <w:sz w:val="22"/>
                <w:szCs w:val="24"/>
                <w:highlight w:val="yellow"/>
              </w:rPr>
            </w:pPr>
            <w:r>
              <w:rPr>
                <w:rFonts w:hint="eastAsia" w:ascii="宋体" w:hAnsi="宋体"/>
                <w:sz w:val="22"/>
                <w:szCs w:val="24"/>
              </w:rPr>
              <w:t>拟安排的项目负责人情况（仅限一人）</w:t>
            </w:r>
          </w:p>
        </w:tc>
        <w:tc>
          <w:tcPr>
            <w:tcW w:w="4678" w:type="dxa"/>
          </w:tcPr>
          <w:p w14:paraId="7CD47AB7">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2593ED8A">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（1）具有博士学位或高级职称的，得50%；具有硕士学位或中级职称的，得30%。</w:t>
            </w:r>
          </w:p>
          <w:p w14:paraId="2E0BD480">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（2）具有</w:t>
            </w:r>
            <w:r>
              <w:rPr>
                <w:rFonts w:hint="eastAsia" w:ascii="宋体" w:hAnsi="宋体" w:cs="宋体"/>
                <w:kern w:val="0"/>
                <w:sz w:val="22"/>
                <w:szCs w:val="24"/>
                <w:lang w:val="en-US" w:eastAsia="zh-CN"/>
              </w:rPr>
              <w:t>重大科技基础设施以及前沿交叉研究平台等重大科研平台项目管理、体制机制研究等</w:t>
            </w:r>
            <w:r>
              <w:rPr>
                <w:rFonts w:hint="eastAsia" w:ascii="宋体" w:hAnsi="宋体" w:cs="宋体"/>
                <w:kern w:val="0"/>
                <w:sz w:val="22"/>
                <w:szCs w:val="24"/>
              </w:rPr>
              <w:t>相关经验的，得50%；</w:t>
            </w:r>
          </w:p>
          <w:p w14:paraId="562B2C79">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以上累计最高得100%。</w:t>
            </w:r>
          </w:p>
          <w:p w14:paraId="010B0C99">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73517604">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（1）项目负责人学位及职称证书扫描件。</w:t>
            </w:r>
          </w:p>
          <w:p w14:paraId="42167070">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（2）提供通过投标人缴纳的近一个月社保证明作为本单位员工的证明依据。</w:t>
            </w:r>
          </w:p>
          <w:p w14:paraId="5A41A9B1">
            <w:pPr>
              <w:spacing w:line="300" w:lineRule="exact"/>
              <w:ind w:left="-63" w:leftChars="-30" w:right="-88" w:rightChars="-42"/>
              <w:jc w:val="left"/>
              <w:rPr>
                <w:rFonts w:ascii="宋体" w:hAnsi="宋体" w:cs="宋体"/>
                <w:kern w:val="0"/>
                <w:sz w:val="22"/>
                <w:szCs w:val="24"/>
                <w:highlight w:val="yellow"/>
              </w:rPr>
            </w:pPr>
            <w:r>
              <w:rPr>
                <w:rFonts w:hint="eastAsia" w:ascii="宋体" w:hAnsi="宋体" w:cs="宋体"/>
                <w:kern w:val="0"/>
                <w:sz w:val="22"/>
                <w:szCs w:val="24"/>
              </w:rPr>
              <w:t>（3）提供重大科研平台项目管理、体制机制研究</w:t>
            </w:r>
            <w:r>
              <w:rPr>
                <w:rFonts w:hint="eastAsia" w:ascii="宋体" w:hAnsi="宋体" w:cs="宋体"/>
                <w:kern w:val="0"/>
                <w:sz w:val="22"/>
                <w:szCs w:val="24"/>
                <w:lang w:val="en-US" w:eastAsia="zh-CN"/>
              </w:rPr>
              <w:t>等</w:t>
            </w:r>
            <w:r>
              <w:rPr>
                <w:rFonts w:hint="eastAsia" w:ascii="宋体" w:hAnsi="宋体" w:cs="宋体"/>
                <w:kern w:val="0"/>
                <w:sz w:val="22"/>
                <w:szCs w:val="24"/>
              </w:rPr>
              <w:t>相关证明材料；</w:t>
            </w:r>
          </w:p>
        </w:tc>
        <w:tc>
          <w:tcPr>
            <w:tcW w:w="850" w:type="dxa"/>
            <w:tcBorders>
              <w:right w:val="single" w:color="auto" w:sz="4" w:space="0"/>
            </w:tcBorders>
            <w:vAlign w:val="center"/>
          </w:tcPr>
          <w:p w14:paraId="607E0C01">
            <w:pPr>
              <w:jc w:val="center"/>
              <w:rPr>
                <w:rFonts w:ascii="宋体" w:hAnsi="宋体"/>
                <w:sz w:val="22"/>
                <w:szCs w:val="24"/>
              </w:rPr>
            </w:pPr>
            <w:r>
              <w:rPr>
                <w:rFonts w:hint="eastAsia" w:ascii="宋体" w:hAnsi="宋体"/>
                <w:sz w:val="22"/>
                <w:szCs w:val="24"/>
              </w:rPr>
              <w:t>5</w:t>
            </w:r>
          </w:p>
        </w:tc>
        <w:tc>
          <w:tcPr>
            <w:tcW w:w="851" w:type="dxa"/>
            <w:tcBorders>
              <w:left w:val="single" w:color="auto" w:sz="4" w:space="0"/>
            </w:tcBorders>
            <w:vAlign w:val="center"/>
          </w:tcPr>
          <w:p w14:paraId="35208D86">
            <w:pPr>
              <w:jc w:val="center"/>
              <w:rPr>
                <w:rFonts w:ascii="宋体" w:hAnsi="宋体"/>
                <w:sz w:val="22"/>
                <w:szCs w:val="24"/>
              </w:rPr>
            </w:pPr>
            <w:r>
              <w:rPr>
                <w:rFonts w:hint="eastAsia" w:ascii="宋体" w:hAnsi="宋体"/>
                <w:sz w:val="22"/>
                <w:szCs w:val="24"/>
              </w:rPr>
              <w:t>5</w:t>
            </w:r>
          </w:p>
        </w:tc>
      </w:tr>
      <w:tr w14:paraId="67FA8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5144060">
            <w:pPr>
              <w:numPr>
                <w:ilvl w:val="0"/>
                <w:numId w:val="6"/>
              </w:numPr>
              <w:jc w:val="center"/>
              <w:rPr>
                <w:rFonts w:ascii="宋体" w:hAnsi="宋体"/>
                <w:sz w:val="22"/>
                <w:szCs w:val="24"/>
              </w:rPr>
            </w:pPr>
          </w:p>
        </w:tc>
        <w:tc>
          <w:tcPr>
            <w:tcW w:w="1202" w:type="dxa"/>
            <w:vAlign w:val="center"/>
          </w:tcPr>
          <w:p w14:paraId="799C10F4">
            <w:pPr>
              <w:spacing w:line="300" w:lineRule="exact"/>
              <w:jc w:val="center"/>
              <w:rPr>
                <w:rFonts w:ascii="宋体" w:hAnsi="宋体"/>
                <w:sz w:val="22"/>
                <w:szCs w:val="24"/>
              </w:rPr>
            </w:pPr>
            <w:r>
              <w:rPr>
                <w:rFonts w:hint="eastAsia" w:ascii="宋体" w:hAnsi="宋体"/>
                <w:sz w:val="22"/>
                <w:szCs w:val="24"/>
              </w:rPr>
              <w:t>拟安排的项目主要团队成员（主要技术人员）情况（项目负责人除外）</w:t>
            </w:r>
          </w:p>
        </w:tc>
        <w:tc>
          <w:tcPr>
            <w:tcW w:w="4678" w:type="dxa"/>
          </w:tcPr>
          <w:p w14:paraId="6F658AFB">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14:paraId="0CFC1615">
            <w:pPr>
              <w:spacing w:line="300" w:lineRule="exact"/>
              <w:jc w:val="left"/>
              <w:rPr>
                <w:rFonts w:ascii="宋体" w:hAnsi="宋体" w:cs="宋体"/>
                <w:kern w:val="0"/>
                <w:sz w:val="22"/>
                <w:szCs w:val="24"/>
              </w:rPr>
            </w:pPr>
            <w:r>
              <w:rPr>
                <w:rFonts w:hint="eastAsia" w:ascii="宋体" w:hAnsi="宋体" w:cs="宋体"/>
                <w:kern w:val="0"/>
                <w:sz w:val="22"/>
                <w:szCs w:val="24"/>
              </w:rPr>
              <w:t>项目团队中每提供1位有博士学位或高级职称人员得20%，每提供1位有中级职称或硕士学位人员得10%，最高得分不超过100%。</w:t>
            </w:r>
          </w:p>
          <w:p w14:paraId="237CB2DA">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14:paraId="051B4FA7">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（1）提供通过投标人缴纳的近一个月社保证明、学位或职称文件等材料。</w:t>
            </w:r>
          </w:p>
          <w:p w14:paraId="7560AA63">
            <w:pPr>
              <w:spacing w:line="300" w:lineRule="exact"/>
              <w:ind w:left="-63" w:leftChars="-30" w:right="-88" w:rightChars="-42"/>
              <w:jc w:val="left"/>
              <w:rPr>
                <w:rFonts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1C5CD044">
            <w:pPr>
              <w:jc w:val="center"/>
              <w:rPr>
                <w:rFonts w:ascii="宋体" w:hAnsi="宋体"/>
                <w:sz w:val="22"/>
                <w:szCs w:val="24"/>
              </w:rPr>
            </w:pPr>
            <w:r>
              <w:rPr>
                <w:rFonts w:ascii="宋体" w:hAnsi="宋体"/>
                <w:sz w:val="22"/>
                <w:szCs w:val="24"/>
              </w:rPr>
              <w:t>1</w:t>
            </w:r>
            <w:r>
              <w:rPr>
                <w:rFonts w:hint="eastAsia" w:ascii="宋体" w:hAnsi="宋体"/>
                <w:sz w:val="22"/>
                <w:szCs w:val="24"/>
              </w:rPr>
              <w:t>0</w:t>
            </w:r>
          </w:p>
        </w:tc>
        <w:tc>
          <w:tcPr>
            <w:tcW w:w="851" w:type="dxa"/>
            <w:tcBorders>
              <w:left w:val="single" w:color="auto" w:sz="4" w:space="0"/>
            </w:tcBorders>
            <w:vAlign w:val="center"/>
          </w:tcPr>
          <w:p w14:paraId="2EE0B675">
            <w:pPr>
              <w:jc w:val="center"/>
              <w:rPr>
                <w:rFonts w:ascii="宋体" w:hAnsi="宋体"/>
                <w:sz w:val="22"/>
                <w:szCs w:val="24"/>
              </w:rPr>
            </w:pPr>
            <w:r>
              <w:rPr>
                <w:rFonts w:ascii="宋体" w:hAnsi="宋体"/>
                <w:sz w:val="22"/>
                <w:szCs w:val="24"/>
              </w:rPr>
              <w:t>1</w:t>
            </w:r>
            <w:r>
              <w:rPr>
                <w:rFonts w:hint="eastAsia" w:ascii="宋体" w:hAnsi="宋体"/>
                <w:sz w:val="22"/>
                <w:szCs w:val="24"/>
              </w:rPr>
              <w:t>0</w:t>
            </w:r>
          </w:p>
        </w:tc>
      </w:tr>
      <w:tr w14:paraId="06894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59DD8C01">
            <w:pPr>
              <w:jc w:val="center"/>
              <w:rPr>
                <w:rFonts w:ascii="宋体" w:hAnsi="宋体"/>
                <w:b/>
                <w:sz w:val="22"/>
                <w:szCs w:val="24"/>
              </w:rPr>
            </w:pPr>
            <w:r>
              <w:rPr>
                <w:rFonts w:hint="eastAsia" w:ascii="宋体" w:hAnsi="宋体"/>
                <w:b/>
                <w:sz w:val="22"/>
                <w:szCs w:val="24"/>
              </w:rPr>
              <w:t>三</w:t>
            </w:r>
          </w:p>
        </w:tc>
        <w:tc>
          <w:tcPr>
            <w:tcW w:w="7581" w:type="dxa"/>
            <w:gridSpan w:val="4"/>
            <w:vAlign w:val="center"/>
          </w:tcPr>
          <w:p w14:paraId="4747125B">
            <w:pPr>
              <w:spacing w:line="300" w:lineRule="exact"/>
              <w:ind w:left="-78" w:leftChars="-37" w:right="-73" w:rightChars="-35"/>
              <w:jc w:val="center"/>
              <w:rPr>
                <w:rFonts w:ascii="宋体" w:hAnsi="宋体" w:cs="宋体"/>
                <w:b/>
                <w:sz w:val="22"/>
                <w:szCs w:val="24"/>
              </w:rPr>
            </w:pPr>
            <w:r>
              <w:rPr>
                <w:rFonts w:hint="eastAsia" w:ascii="宋体" w:hAnsi="宋体"/>
                <w:b/>
                <w:sz w:val="22"/>
                <w:szCs w:val="24"/>
              </w:rPr>
              <w:t>价格部分（合计10分）</w:t>
            </w:r>
          </w:p>
        </w:tc>
      </w:tr>
      <w:tr w14:paraId="48D54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6EFD32EB">
            <w:pPr>
              <w:numPr>
                <w:ilvl w:val="0"/>
                <w:numId w:val="7"/>
              </w:numPr>
              <w:jc w:val="center"/>
              <w:rPr>
                <w:rFonts w:ascii="宋体" w:hAnsi="宋体"/>
                <w:sz w:val="22"/>
                <w:szCs w:val="24"/>
              </w:rPr>
            </w:pPr>
          </w:p>
        </w:tc>
        <w:tc>
          <w:tcPr>
            <w:tcW w:w="1202" w:type="dxa"/>
            <w:vAlign w:val="center"/>
          </w:tcPr>
          <w:p w14:paraId="2863528A">
            <w:pPr>
              <w:spacing w:line="300" w:lineRule="exact"/>
              <w:jc w:val="center"/>
              <w:rPr>
                <w:rFonts w:ascii="宋体" w:hAnsi="宋体"/>
                <w:sz w:val="22"/>
                <w:szCs w:val="24"/>
              </w:rPr>
            </w:pPr>
            <w:r>
              <w:rPr>
                <w:rFonts w:hint="eastAsia" w:ascii="宋体" w:hAnsi="宋体"/>
                <w:sz w:val="22"/>
                <w:szCs w:val="24"/>
              </w:rPr>
              <w:t>投标报价</w:t>
            </w:r>
          </w:p>
        </w:tc>
        <w:tc>
          <w:tcPr>
            <w:tcW w:w="4678" w:type="dxa"/>
            <w:vAlign w:val="center"/>
          </w:tcPr>
          <w:p w14:paraId="5CBF4DF3">
            <w:pPr>
              <w:autoSpaceDE w:val="0"/>
              <w:autoSpaceDN w:val="0"/>
              <w:adjustRightInd w:val="0"/>
              <w:snapToGrid w:val="0"/>
              <w:spacing w:line="300" w:lineRule="exact"/>
              <w:rPr>
                <w:rFonts w:ascii="宋体" w:hAnsi="宋体" w:cs="宋体"/>
                <w:kern w:val="0"/>
                <w:sz w:val="22"/>
                <w:szCs w:val="24"/>
              </w:rPr>
            </w:pPr>
            <w:r>
              <w:rPr>
                <w:rFonts w:ascii="宋体" w:hAnsi="宋体" w:cs="宋体"/>
                <w:kern w:val="0"/>
                <w:sz w:val="22"/>
                <w:szCs w:val="24"/>
              </w:rPr>
              <w:t>价格分</w:t>
            </w:r>
            <w:r>
              <w:rPr>
                <w:rFonts w:hint="eastAsia" w:ascii="宋体" w:hAnsi="宋体" w:cs="宋体"/>
                <w:kern w:val="0"/>
                <w:sz w:val="22"/>
                <w:szCs w:val="24"/>
              </w:rPr>
              <w:t>应当采用低价优先法计算，即满足招标文件要求且投标价格最低的投标报价为评标基准价，其价格分为满分。其他投标人的价格分统一按照下列公式计算：</w:t>
            </w:r>
          </w:p>
          <w:p w14:paraId="47D809C0">
            <w:pPr>
              <w:spacing w:line="300" w:lineRule="exact"/>
              <w:jc w:val="left"/>
              <w:rPr>
                <w:rFonts w:ascii="宋体" w:hAnsi="宋体" w:cs="宋体"/>
                <w:kern w:val="0"/>
                <w:sz w:val="22"/>
                <w:szCs w:val="24"/>
              </w:rPr>
            </w:pPr>
            <w:r>
              <w:rPr>
                <w:rFonts w:hint="eastAsia" w:ascii="宋体" w:hAnsi="宋体" w:cs="宋体"/>
                <w:kern w:val="0"/>
                <w:sz w:val="22"/>
                <w:szCs w:val="24"/>
              </w:rPr>
              <w:t>投标报价得分=(评标基准价／投标报价)×100×权重</w:t>
            </w:r>
          </w:p>
          <w:p w14:paraId="1FFAAD11">
            <w:pPr>
              <w:spacing w:line="300" w:lineRule="exact"/>
              <w:jc w:val="left"/>
              <w:rPr>
                <w:rFonts w:ascii="宋体" w:hAnsi="宋体"/>
                <w:bCs/>
                <w:sz w:val="22"/>
                <w:szCs w:val="24"/>
              </w:rPr>
            </w:pPr>
            <w:r>
              <w:rPr>
                <w:rFonts w:hint="eastAsia" w:ascii="宋体" w:hAnsi="宋体"/>
                <w:bCs/>
                <w:sz w:val="22"/>
                <w:szCs w:val="24"/>
              </w:rPr>
              <w:t>备注：</w:t>
            </w:r>
          </w:p>
          <w:p w14:paraId="7D90926D">
            <w:pPr>
              <w:spacing w:line="300" w:lineRule="exact"/>
              <w:jc w:val="left"/>
              <w:rPr>
                <w:rFonts w:ascii="宋体" w:hAnsi="宋体" w:cs="宋体"/>
                <w:sz w:val="22"/>
                <w:szCs w:val="24"/>
              </w:rPr>
            </w:pPr>
            <w:r>
              <w:rPr>
                <w:rFonts w:hint="eastAsia" w:ascii="宋体" w:hAnsi="宋体"/>
                <w:bCs/>
                <w:sz w:val="22"/>
                <w:szCs w:val="24"/>
              </w:rPr>
              <w:t>1、因落实政府采购政策进行价格调整的，以调整后的价格计算评标基准价和投标报价</w:t>
            </w:r>
            <w:r>
              <w:rPr>
                <w:rFonts w:hint="eastAsia" w:ascii="宋体" w:hAnsi="宋体" w:cs="宋体"/>
                <w:sz w:val="22"/>
                <w:szCs w:val="24"/>
              </w:rPr>
              <w:t>,详见“价格扣除”。</w:t>
            </w:r>
          </w:p>
          <w:p w14:paraId="4E19D3BA">
            <w:pPr>
              <w:spacing w:line="300" w:lineRule="exact"/>
              <w:rPr>
                <w:rFonts w:ascii="宋体" w:hAnsi="宋体"/>
                <w:b/>
                <w:bCs/>
                <w:sz w:val="22"/>
                <w:szCs w:val="24"/>
                <w:u w:val="double"/>
              </w:rPr>
            </w:pPr>
            <w:r>
              <w:rPr>
                <w:rFonts w:hint="eastAsia" w:ascii="宋体" w:hAnsi="宋体"/>
                <w:bCs/>
                <w:sz w:val="22"/>
                <w:szCs w:val="24"/>
              </w:rPr>
              <w:t>2、投标报价得分四舍五入后，</w:t>
            </w:r>
            <w:r>
              <w:rPr>
                <w:rFonts w:hint="eastAsia" w:ascii="宋体" w:hAnsi="宋体" w:cs="Arial"/>
                <w:sz w:val="22"/>
                <w:szCs w:val="24"/>
              </w:rPr>
              <w:t>小数点后保留两位有效数</w:t>
            </w:r>
            <w:r>
              <w:rPr>
                <w:rFonts w:hint="eastAsia" w:ascii="宋体" w:hAnsi="宋体"/>
                <w:bCs/>
                <w:sz w:val="22"/>
                <w:szCs w:val="24"/>
              </w:rPr>
              <w:t>。</w:t>
            </w:r>
          </w:p>
        </w:tc>
        <w:tc>
          <w:tcPr>
            <w:tcW w:w="850" w:type="dxa"/>
            <w:tcBorders>
              <w:right w:val="single" w:color="auto" w:sz="4" w:space="0"/>
            </w:tcBorders>
            <w:vAlign w:val="center"/>
          </w:tcPr>
          <w:p w14:paraId="03481B1D">
            <w:pPr>
              <w:ind w:left="-78" w:leftChars="-37" w:right="-73" w:rightChars="-35"/>
              <w:jc w:val="center"/>
              <w:rPr>
                <w:rFonts w:ascii="宋体" w:hAnsi="宋体" w:cs="宋体"/>
                <w:sz w:val="22"/>
                <w:szCs w:val="24"/>
              </w:rPr>
            </w:pPr>
            <w:r>
              <w:rPr>
                <w:rFonts w:hint="eastAsia" w:ascii="宋体" w:hAnsi="宋体" w:cs="宋体"/>
                <w:sz w:val="22"/>
                <w:szCs w:val="24"/>
              </w:rPr>
              <w:t>10</w:t>
            </w:r>
          </w:p>
        </w:tc>
        <w:tc>
          <w:tcPr>
            <w:tcW w:w="851" w:type="dxa"/>
            <w:tcBorders>
              <w:left w:val="single" w:color="auto" w:sz="4" w:space="0"/>
            </w:tcBorders>
            <w:vAlign w:val="center"/>
          </w:tcPr>
          <w:p w14:paraId="53A37E96">
            <w:pPr>
              <w:ind w:left="-78" w:leftChars="-37" w:right="-73" w:rightChars="-35"/>
              <w:jc w:val="center"/>
              <w:rPr>
                <w:rFonts w:ascii="宋体" w:hAnsi="宋体" w:cs="宋体"/>
                <w:sz w:val="22"/>
                <w:szCs w:val="24"/>
              </w:rPr>
            </w:pPr>
            <w:r>
              <w:rPr>
                <w:rFonts w:hint="eastAsia" w:ascii="宋体" w:hAnsi="宋体"/>
                <w:sz w:val="22"/>
                <w:szCs w:val="24"/>
              </w:rPr>
              <w:t>10</w:t>
            </w:r>
          </w:p>
        </w:tc>
      </w:tr>
      <w:tr w14:paraId="7EB51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7770B510">
            <w:pPr>
              <w:ind w:left="-78" w:leftChars="-37" w:right="-73" w:rightChars="-35"/>
              <w:jc w:val="center"/>
              <w:rPr>
                <w:rFonts w:ascii="宋体" w:hAnsi="宋体" w:cs="宋体"/>
                <w:sz w:val="22"/>
                <w:szCs w:val="24"/>
              </w:rPr>
            </w:pPr>
            <w:r>
              <w:rPr>
                <w:rFonts w:hint="eastAsia" w:ascii="宋体" w:hAnsi="宋体"/>
                <w:sz w:val="22"/>
                <w:szCs w:val="24"/>
              </w:rPr>
              <w:t>合计</w:t>
            </w:r>
          </w:p>
        </w:tc>
        <w:tc>
          <w:tcPr>
            <w:tcW w:w="850" w:type="dxa"/>
            <w:tcBorders>
              <w:right w:val="single" w:color="auto" w:sz="4" w:space="0"/>
            </w:tcBorders>
            <w:vAlign w:val="center"/>
          </w:tcPr>
          <w:p w14:paraId="3D7BDD85">
            <w:pPr>
              <w:ind w:left="-78" w:leftChars="-37" w:right="-73" w:rightChars="-35"/>
              <w:jc w:val="center"/>
              <w:rPr>
                <w:rFonts w:ascii="宋体" w:hAnsi="宋体" w:cs="宋体"/>
                <w:sz w:val="22"/>
                <w:szCs w:val="24"/>
              </w:rPr>
            </w:pPr>
            <w:r>
              <w:rPr>
                <w:rFonts w:hint="eastAsia" w:ascii="宋体" w:hAnsi="宋体" w:cs="宋体"/>
                <w:sz w:val="22"/>
                <w:szCs w:val="24"/>
              </w:rPr>
              <w:t>100</w:t>
            </w:r>
          </w:p>
        </w:tc>
        <w:tc>
          <w:tcPr>
            <w:tcW w:w="851" w:type="dxa"/>
            <w:tcBorders>
              <w:left w:val="single" w:color="auto" w:sz="4" w:space="0"/>
            </w:tcBorders>
            <w:vAlign w:val="center"/>
          </w:tcPr>
          <w:p w14:paraId="25357E10">
            <w:pPr>
              <w:ind w:left="-78" w:leftChars="-37" w:right="-73" w:rightChars="-35"/>
              <w:jc w:val="center"/>
              <w:rPr>
                <w:rFonts w:ascii="宋体" w:hAnsi="宋体" w:cs="宋体"/>
                <w:sz w:val="22"/>
                <w:szCs w:val="24"/>
              </w:rPr>
            </w:pPr>
            <w:r>
              <w:rPr>
                <w:rFonts w:hint="eastAsia" w:ascii="宋体" w:hAnsi="宋体" w:cs="宋体"/>
                <w:sz w:val="22"/>
                <w:szCs w:val="24"/>
              </w:rPr>
              <w:t>100</w:t>
            </w:r>
          </w:p>
        </w:tc>
      </w:tr>
    </w:tbl>
    <w:p w14:paraId="27529EE4">
      <w:pPr>
        <w:spacing w:before="156" w:beforeLines="50" w:after="156" w:afterLines="50" w:line="560" w:lineRule="exact"/>
        <w:ind w:firstLine="640" w:firstLineChars="200"/>
        <w:outlineLvl w:val="0"/>
        <w:rPr>
          <w:rFonts w:hint="eastAsia" w:ascii="仿宋" w:hAnsi="仿宋" w:eastAsia="仿宋" w:cs="仿宋_GB2312"/>
          <w:sz w:val="32"/>
          <w:szCs w:val="32"/>
        </w:rPr>
      </w:pPr>
    </w:p>
    <w:p w14:paraId="6D3DFF1C">
      <w:pPr>
        <w:rPr>
          <w:rFonts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14:paraId="5D8F1833">
      <w:pPr>
        <w:ind w:firstLine="600" w:firstLineChars="250"/>
        <w:rPr>
          <w:rFonts w:ascii="宋体" w:hAnsi="宋体" w:cs="宋体"/>
          <w:kern w:val="0"/>
          <w:sz w:val="24"/>
          <w:szCs w:val="24"/>
        </w:rPr>
      </w:pPr>
      <w:r>
        <w:rPr>
          <w:rFonts w:hint="eastAsia" w:ascii="宋体" w:hAnsi="宋体" w:cs="宋体"/>
          <w:kern w:val="0"/>
          <w:sz w:val="24"/>
          <w:szCs w:val="24"/>
        </w:rPr>
        <w:t>（1）权重：按百分比进行设置；</w:t>
      </w:r>
    </w:p>
    <w:p w14:paraId="4C41DC0C">
      <w:pPr>
        <w:ind w:firstLine="600" w:firstLineChars="250"/>
        <w:rPr>
          <w:rFonts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14:paraId="1B960A10">
      <w:pPr>
        <w:ind w:firstLine="600" w:firstLineChars="250"/>
        <w:rPr>
          <w:rFonts w:ascii="宋体" w:hAnsi="宋体" w:cs="宋体"/>
          <w:kern w:val="0"/>
          <w:sz w:val="24"/>
          <w:szCs w:val="24"/>
        </w:rPr>
      </w:pPr>
      <w:r>
        <w:rPr>
          <w:rFonts w:hint="eastAsia" w:ascii="宋体" w:hAnsi="宋体" w:cs="宋体"/>
          <w:kern w:val="0"/>
          <w:sz w:val="24"/>
          <w:szCs w:val="24"/>
        </w:rPr>
        <w:t>（3）每项“评分因素”的得分=对应“评分准则”的分值×对应权重%。</w:t>
      </w:r>
    </w:p>
    <w:p w14:paraId="4E9D969F">
      <w:pPr>
        <w:ind w:firstLine="600" w:firstLineChars="25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14:paraId="5FBF8BD6">
      <w:pPr>
        <w:ind w:firstLine="600" w:firstLineChars="250"/>
        <w:rPr>
          <w:rFonts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14:paraId="4E79E9B7">
      <w:pPr>
        <w:ind w:firstLine="600" w:firstLineChars="250"/>
        <w:rPr>
          <w:rFonts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14:paraId="4631A336">
      <w:pPr>
        <w:ind w:firstLine="600" w:firstLineChars="250"/>
        <w:rPr>
          <w:rFonts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14:paraId="005D21D9">
      <w:pPr>
        <w:ind w:firstLine="600" w:firstLineChars="250"/>
        <w:rPr>
          <w:rFonts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14:paraId="5AEE3B23">
      <w:pPr>
        <w:spacing w:line="540" w:lineRule="exact"/>
        <w:ind w:firstLine="600" w:firstLineChars="250"/>
        <w:rPr>
          <w:rFonts w:ascii="宋体" w:hAnsi="宋体" w:cs="宋体"/>
          <w:kern w:val="0"/>
          <w:sz w:val="24"/>
          <w:szCs w:val="24"/>
        </w:rPr>
      </w:pPr>
    </w:p>
    <w:p w14:paraId="4092C6B1">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附件：投标及履约承诺函</w:t>
      </w:r>
    </w:p>
    <w:p w14:paraId="028B9744">
      <w:pPr>
        <w:widowControl/>
        <w:jc w:val="left"/>
        <w:rPr>
          <w:rFonts w:ascii="仿宋" w:hAnsi="仿宋" w:eastAsia="仿宋" w:cs="仿宋_GB2312"/>
          <w:sz w:val="32"/>
          <w:szCs w:val="32"/>
        </w:rPr>
      </w:pPr>
      <w:r>
        <w:rPr>
          <w:rFonts w:ascii="仿宋" w:hAnsi="仿宋" w:eastAsia="仿宋" w:cs="仿宋_GB2312"/>
          <w:sz w:val="32"/>
          <w:szCs w:val="32"/>
        </w:rPr>
        <w:br w:type="page"/>
      </w:r>
    </w:p>
    <w:p w14:paraId="1436632C">
      <w:pPr>
        <w:adjustRightInd w:val="0"/>
        <w:snapToGrid w:val="0"/>
        <w:jc w:val="left"/>
        <w:rPr>
          <w:rFonts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zh-CN"/>
        </w:rPr>
        <w:t>附件</w:t>
      </w:r>
    </w:p>
    <w:p w14:paraId="694C9764">
      <w:pPr>
        <w:adjustRightInd w:val="0"/>
        <w:snapToGrid w:val="0"/>
        <w:jc w:val="center"/>
        <w:rPr>
          <w:rFonts w:ascii="宋体" w:hAnsi="宋体" w:cs="宋体"/>
          <w:b/>
          <w:bCs/>
          <w:sz w:val="44"/>
          <w:szCs w:val="44"/>
        </w:rPr>
      </w:pPr>
    </w:p>
    <w:p w14:paraId="2FE4D8B8">
      <w:pPr>
        <w:adjustRightInd w:val="0"/>
        <w:snapToGrid w:val="0"/>
        <w:jc w:val="center"/>
        <w:rPr>
          <w:rFonts w:ascii="宋体" w:hAnsi="宋体" w:cs="宋体"/>
          <w:b/>
          <w:bCs/>
          <w:sz w:val="44"/>
          <w:szCs w:val="44"/>
        </w:rPr>
      </w:pPr>
      <w:r>
        <w:rPr>
          <w:rFonts w:hint="eastAsia" w:ascii="宋体" w:hAnsi="宋体" w:cs="宋体"/>
          <w:b/>
          <w:bCs/>
          <w:sz w:val="44"/>
          <w:szCs w:val="44"/>
        </w:rPr>
        <w:t>投标及履约承诺函</w:t>
      </w:r>
    </w:p>
    <w:p w14:paraId="6B9F47E8">
      <w:pPr>
        <w:adjustRightInd w:val="0"/>
        <w:snapToGrid w:val="0"/>
        <w:jc w:val="center"/>
        <w:rPr>
          <w:rFonts w:ascii="宋体" w:hAnsi="宋体" w:cs="宋体"/>
          <w:b/>
          <w:bCs/>
          <w:sz w:val="44"/>
          <w:szCs w:val="44"/>
        </w:rPr>
      </w:pPr>
    </w:p>
    <w:p w14:paraId="508E2B8D">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14:paraId="2D08C7BC">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7C2F2DD7">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2CD54FD7">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68205056">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6.如果中标，做到守信，不偷工减料，依照本项目招标文件需求内容、签署的采购合同及在投标中所作的一切承诺履约。项目验收达到全部指标合格，力争优良。</w:t>
      </w:r>
    </w:p>
    <w:p w14:paraId="38725F4A">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 xml:space="preserve">7.我单位已认真阅读本项目需求，我单位承诺按时递交标书。 </w:t>
      </w:r>
    </w:p>
    <w:p w14:paraId="5839DF49">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8.我单位承诺不非法转包或分包。</w:t>
      </w:r>
    </w:p>
    <w:p w14:paraId="62CF3D5E">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2B238352">
      <w:pPr>
        <w:adjustRightInd w:val="0"/>
        <w:snapToGrid w:val="0"/>
        <w:spacing w:line="480" w:lineRule="exact"/>
        <w:ind w:firstLine="640" w:firstLineChars="200"/>
        <w:rPr>
          <w:rFonts w:ascii="仿宋_GB2312" w:hAnsi="宋体" w:eastAsia="仿宋_GB2312"/>
          <w:sz w:val="32"/>
          <w:szCs w:val="22"/>
        </w:rPr>
      </w:pPr>
    </w:p>
    <w:p w14:paraId="26038A3C">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0C2A86AE">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14:paraId="54791A89">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0C5DFA05">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p>
    <w:p w14:paraId="3C016BDF">
      <w:pPr>
        <w:adjustRightInd w:val="0"/>
        <w:snapToGrid w:val="0"/>
        <w:spacing w:line="480" w:lineRule="exact"/>
        <w:ind w:firstLine="640" w:firstLineChars="200"/>
        <w:rPr>
          <w:rFonts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auto"/>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09D7">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A9988C4">
                          <w:pPr>
                            <w:pStyle w:val="27"/>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14:paraId="6A9988C4">
                    <w:pPr>
                      <w:pStyle w:val="27"/>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D799">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7804E9">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C7804E9">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A"/>
    <w:rsid w:val="00000F65"/>
    <w:rsid w:val="00015BC4"/>
    <w:rsid w:val="00021F8A"/>
    <w:rsid w:val="00026571"/>
    <w:rsid w:val="0004775A"/>
    <w:rsid w:val="00057629"/>
    <w:rsid w:val="0007094F"/>
    <w:rsid w:val="00087B33"/>
    <w:rsid w:val="0009025E"/>
    <w:rsid w:val="000943CB"/>
    <w:rsid w:val="000A2ECD"/>
    <w:rsid w:val="000A460A"/>
    <w:rsid w:val="000B0355"/>
    <w:rsid w:val="000B0357"/>
    <w:rsid w:val="000C24E4"/>
    <w:rsid w:val="000C4C90"/>
    <w:rsid w:val="000C72A3"/>
    <w:rsid w:val="000E057C"/>
    <w:rsid w:val="000E7D03"/>
    <w:rsid w:val="000F7AD1"/>
    <w:rsid w:val="00102E73"/>
    <w:rsid w:val="00104E04"/>
    <w:rsid w:val="001124E6"/>
    <w:rsid w:val="00121A5C"/>
    <w:rsid w:val="001275A8"/>
    <w:rsid w:val="001278AD"/>
    <w:rsid w:val="00142DE7"/>
    <w:rsid w:val="0014446E"/>
    <w:rsid w:val="001544E0"/>
    <w:rsid w:val="00155FBC"/>
    <w:rsid w:val="0017605A"/>
    <w:rsid w:val="0017760C"/>
    <w:rsid w:val="00180298"/>
    <w:rsid w:val="0018063F"/>
    <w:rsid w:val="001816F2"/>
    <w:rsid w:val="00186C5C"/>
    <w:rsid w:val="00197FDE"/>
    <w:rsid w:val="001B20D4"/>
    <w:rsid w:val="001B35A8"/>
    <w:rsid w:val="001C71B0"/>
    <w:rsid w:val="001D3DDB"/>
    <w:rsid w:val="001E3A97"/>
    <w:rsid w:val="001E510D"/>
    <w:rsid w:val="001F2F3C"/>
    <w:rsid w:val="001F6A98"/>
    <w:rsid w:val="001F7840"/>
    <w:rsid w:val="002121C1"/>
    <w:rsid w:val="00212BC7"/>
    <w:rsid w:val="00214268"/>
    <w:rsid w:val="00226951"/>
    <w:rsid w:val="00236C21"/>
    <w:rsid w:val="00247CC0"/>
    <w:rsid w:val="00264F3F"/>
    <w:rsid w:val="00275B1E"/>
    <w:rsid w:val="0029255E"/>
    <w:rsid w:val="002B2371"/>
    <w:rsid w:val="002B5A7D"/>
    <w:rsid w:val="002C23E7"/>
    <w:rsid w:val="002C410B"/>
    <w:rsid w:val="002C75A1"/>
    <w:rsid w:val="002D3E7B"/>
    <w:rsid w:val="002E3180"/>
    <w:rsid w:val="002F0A38"/>
    <w:rsid w:val="002F7D66"/>
    <w:rsid w:val="0030460A"/>
    <w:rsid w:val="00310166"/>
    <w:rsid w:val="003108AF"/>
    <w:rsid w:val="003109D9"/>
    <w:rsid w:val="00312DB9"/>
    <w:rsid w:val="003179F2"/>
    <w:rsid w:val="0032247C"/>
    <w:rsid w:val="00336A84"/>
    <w:rsid w:val="00342105"/>
    <w:rsid w:val="003443C6"/>
    <w:rsid w:val="00346AEE"/>
    <w:rsid w:val="00351547"/>
    <w:rsid w:val="00351C24"/>
    <w:rsid w:val="003614DA"/>
    <w:rsid w:val="00362DD6"/>
    <w:rsid w:val="003663D1"/>
    <w:rsid w:val="00386203"/>
    <w:rsid w:val="00387586"/>
    <w:rsid w:val="00397D57"/>
    <w:rsid w:val="003A5EBE"/>
    <w:rsid w:val="003A71FE"/>
    <w:rsid w:val="003B47C2"/>
    <w:rsid w:val="003C0F0F"/>
    <w:rsid w:val="003C550C"/>
    <w:rsid w:val="003C7DC7"/>
    <w:rsid w:val="003D0615"/>
    <w:rsid w:val="003D57C1"/>
    <w:rsid w:val="003E74A2"/>
    <w:rsid w:val="003E7BEF"/>
    <w:rsid w:val="003F7347"/>
    <w:rsid w:val="0040141D"/>
    <w:rsid w:val="00401F33"/>
    <w:rsid w:val="0040409B"/>
    <w:rsid w:val="0043443C"/>
    <w:rsid w:val="004346D9"/>
    <w:rsid w:val="0043764A"/>
    <w:rsid w:val="00455A2D"/>
    <w:rsid w:val="00461339"/>
    <w:rsid w:val="0046505B"/>
    <w:rsid w:val="004747A9"/>
    <w:rsid w:val="00482C77"/>
    <w:rsid w:val="00490843"/>
    <w:rsid w:val="00491ECF"/>
    <w:rsid w:val="00492143"/>
    <w:rsid w:val="004A018F"/>
    <w:rsid w:val="004A4844"/>
    <w:rsid w:val="004B3EFF"/>
    <w:rsid w:val="004B4044"/>
    <w:rsid w:val="004B72E2"/>
    <w:rsid w:val="004D140F"/>
    <w:rsid w:val="004D647F"/>
    <w:rsid w:val="004D69E2"/>
    <w:rsid w:val="004E6DC8"/>
    <w:rsid w:val="004F4EEB"/>
    <w:rsid w:val="00502316"/>
    <w:rsid w:val="00512272"/>
    <w:rsid w:val="00522B7F"/>
    <w:rsid w:val="005236DE"/>
    <w:rsid w:val="005250D0"/>
    <w:rsid w:val="0053239E"/>
    <w:rsid w:val="00533C56"/>
    <w:rsid w:val="00540773"/>
    <w:rsid w:val="00541A5D"/>
    <w:rsid w:val="00543EBC"/>
    <w:rsid w:val="00544137"/>
    <w:rsid w:val="00551C08"/>
    <w:rsid w:val="00551FCE"/>
    <w:rsid w:val="0055630F"/>
    <w:rsid w:val="00566FD7"/>
    <w:rsid w:val="00571748"/>
    <w:rsid w:val="005742E2"/>
    <w:rsid w:val="00574E9C"/>
    <w:rsid w:val="0057642D"/>
    <w:rsid w:val="005770EC"/>
    <w:rsid w:val="00581043"/>
    <w:rsid w:val="00591F8A"/>
    <w:rsid w:val="00592178"/>
    <w:rsid w:val="0059695D"/>
    <w:rsid w:val="005B045A"/>
    <w:rsid w:val="005B1504"/>
    <w:rsid w:val="005C1EA1"/>
    <w:rsid w:val="005D06B7"/>
    <w:rsid w:val="005D2DBD"/>
    <w:rsid w:val="005D5595"/>
    <w:rsid w:val="005F42B7"/>
    <w:rsid w:val="00614414"/>
    <w:rsid w:val="00625492"/>
    <w:rsid w:val="00626F53"/>
    <w:rsid w:val="00633239"/>
    <w:rsid w:val="00633C39"/>
    <w:rsid w:val="00642642"/>
    <w:rsid w:val="00667D11"/>
    <w:rsid w:val="00693E4E"/>
    <w:rsid w:val="006A2133"/>
    <w:rsid w:val="006C4AD8"/>
    <w:rsid w:val="006D34ED"/>
    <w:rsid w:val="006D43DB"/>
    <w:rsid w:val="006D7442"/>
    <w:rsid w:val="006E19C9"/>
    <w:rsid w:val="006E5EC1"/>
    <w:rsid w:val="006E64BB"/>
    <w:rsid w:val="006E6B64"/>
    <w:rsid w:val="00705EBC"/>
    <w:rsid w:val="00713126"/>
    <w:rsid w:val="00713D58"/>
    <w:rsid w:val="00737455"/>
    <w:rsid w:val="00741452"/>
    <w:rsid w:val="007414C6"/>
    <w:rsid w:val="00755554"/>
    <w:rsid w:val="00756219"/>
    <w:rsid w:val="00763343"/>
    <w:rsid w:val="00772977"/>
    <w:rsid w:val="00774EE4"/>
    <w:rsid w:val="00781E6C"/>
    <w:rsid w:val="0078257A"/>
    <w:rsid w:val="00785916"/>
    <w:rsid w:val="00792503"/>
    <w:rsid w:val="00796037"/>
    <w:rsid w:val="007A27DD"/>
    <w:rsid w:val="007B3AC8"/>
    <w:rsid w:val="007D0575"/>
    <w:rsid w:val="007D3A49"/>
    <w:rsid w:val="007D629B"/>
    <w:rsid w:val="007D7579"/>
    <w:rsid w:val="007E4380"/>
    <w:rsid w:val="007E537B"/>
    <w:rsid w:val="007F12AF"/>
    <w:rsid w:val="00800F5B"/>
    <w:rsid w:val="00803DE1"/>
    <w:rsid w:val="008111D2"/>
    <w:rsid w:val="008166EE"/>
    <w:rsid w:val="008346B8"/>
    <w:rsid w:val="0084013A"/>
    <w:rsid w:val="00843442"/>
    <w:rsid w:val="00843C62"/>
    <w:rsid w:val="008445CC"/>
    <w:rsid w:val="00856555"/>
    <w:rsid w:val="0087046C"/>
    <w:rsid w:val="00876D92"/>
    <w:rsid w:val="008836FE"/>
    <w:rsid w:val="00883B31"/>
    <w:rsid w:val="00884E21"/>
    <w:rsid w:val="008907C7"/>
    <w:rsid w:val="00893717"/>
    <w:rsid w:val="00897A19"/>
    <w:rsid w:val="008A79FD"/>
    <w:rsid w:val="008B4CAF"/>
    <w:rsid w:val="008D2D34"/>
    <w:rsid w:val="008D783E"/>
    <w:rsid w:val="008F443C"/>
    <w:rsid w:val="009107D4"/>
    <w:rsid w:val="00912182"/>
    <w:rsid w:val="00913B55"/>
    <w:rsid w:val="00915D94"/>
    <w:rsid w:val="00920BB7"/>
    <w:rsid w:val="009245E2"/>
    <w:rsid w:val="009274B6"/>
    <w:rsid w:val="00933256"/>
    <w:rsid w:val="009351C9"/>
    <w:rsid w:val="00935C24"/>
    <w:rsid w:val="00937757"/>
    <w:rsid w:val="009417F2"/>
    <w:rsid w:val="0094689E"/>
    <w:rsid w:val="00951D76"/>
    <w:rsid w:val="009634AF"/>
    <w:rsid w:val="009719CF"/>
    <w:rsid w:val="00976494"/>
    <w:rsid w:val="00977802"/>
    <w:rsid w:val="009910FD"/>
    <w:rsid w:val="0099769F"/>
    <w:rsid w:val="009A0980"/>
    <w:rsid w:val="009A62DE"/>
    <w:rsid w:val="009B1BCF"/>
    <w:rsid w:val="009B37E4"/>
    <w:rsid w:val="009B4668"/>
    <w:rsid w:val="009C378C"/>
    <w:rsid w:val="009C556B"/>
    <w:rsid w:val="009D0D39"/>
    <w:rsid w:val="009D0E3F"/>
    <w:rsid w:val="009D520A"/>
    <w:rsid w:val="009E0008"/>
    <w:rsid w:val="009F6E16"/>
    <w:rsid w:val="00A002CE"/>
    <w:rsid w:val="00A03C2D"/>
    <w:rsid w:val="00A305F8"/>
    <w:rsid w:val="00A31433"/>
    <w:rsid w:val="00A31463"/>
    <w:rsid w:val="00A44DD8"/>
    <w:rsid w:val="00A51B21"/>
    <w:rsid w:val="00A60F56"/>
    <w:rsid w:val="00A716A3"/>
    <w:rsid w:val="00A73054"/>
    <w:rsid w:val="00A76F81"/>
    <w:rsid w:val="00A9093A"/>
    <w:rsid w:val="00A94D28"/>
    <w:rsid w:val="00A97A05"/>
    <w:rsid w:val="00AA5CBE"/>
    <w:rsid w:val="00AA62E8"/>
    <w:rsid w:val="00AA6594"/>
    <w:rsid w:val="00AB432C"/>
    <w:rsid w:val="00AB5B09"/>
    <w:rsid w:val="00AC012B"/>
    <w:rsid w:val="00AC5C00"/>
    <w:rsid w:val="00AD11F7"/>
    <w:rsid w:val="00AD2C39"/>
    <w:rsid w:val="00AE74B1"/>
    <w:rsid w:val="00B01134"/>
    <w:rsid w:val="00B067EE"/>
    <w:rsid w:val="00B0798D"/>
    <w:rsid w:val="00B10467"/>
    <w:rsid w:val="00B25245"/>
    <w:rsid w:val="00B31182"/>
    <w:rsid w:val="00B35AF6"/>
    <w:rsid w:val="00B36FF2"/>
    <w:rsid w:val="00B56D2F"/>
    <w:rsid w:val="00B61338"/>
    <w:rsid w:val="00B61BFE"/>
    <w:rsid w:val="00B67D61"/>
    <w:rsid w:val="00B74AC0"/>
    <w:rsid w:val="00B7696A"/>
    <w:rsid w:val="00B82F55"/>
    <w:rsid w:val="00B86F7E"/>
    <w:rsid w:val="00B9388B"/>
    <w:rsid w:val="00B97382"/>
    <w:rsid w:val="00BA050C"/>
    <w:rsid w:val="00BA3A8C"/>
    <w:rsid w:val="00BB4B80"/>
    <w:rsid w:val="00BB7155"/>
    <w:rsid w:val="00BC680A"/>
    <w:rsid w:val="00BC6A39"/>
    <w:rsid w:val="00C13C74"/>
    <w:rsid w:val="00C3092A"/>
    <w:rsid w:val="00C44FAE"/>
    <w:rsid w:val="00C5185F"/>
    <w:rsid w:val="00C52D4D"/>
    <w:rsid w:val="00C53BC7"/>
    <w:rsid w:val="00C54474"/>
    <w:rsid w:val="00C57C32"/>
    <w:rsid w:val="00C655DD"/>
    <w:rsid w:val="00C96D23"/>
    <w:rsid w:val="00CB02DC"/>
    <w:rsid w:val="00CB7CA8"/>
    <w:rsid w:val="00CD16CE"/>
    <w:rsid w:val="00CF6F23"/>
    <w:rsid w:val="00D12A2B"/>
    <w:rsid w:val="00D1589D"/>
    <w:rsid w:val="00D24698"/>
    <w:rsid w:val="00D25868"/>
    <w:rsid w:val="00D25C47"/>
    <w:rsid w:val="00D2660C"/>
    <w:rsid w:val="00D30E9B"/>
    <w:rsid w:val="00D316F6"/>
    <w:rsid w:val="00D3519D"/>
    <w:rsid w:val="00D45768"/>
    <w:rsid w:val="00D45F2D"/>
    <w:rsid w:val="00D55F1E"/>
    <w:rsid w:val="00D6072F"/>
    <w:rsid w:val="00D64D20"/>
    <w:rsid w:val="00D75ED0"/>
    <w:rsid w:val="00D76346"/>
    <w:rsid w:val="00D7776E"/>
    <w:rsid w:val="00D9607B"/>
    <w:rsid w:val="00DA667C"/>
    <w:rsid w:val="00DB7BEE"/>
    <w:rsid w:val="00DC1D8B"/>
    <w:rsid w:val="00DD0471"/>
    <w:rsid w:val="00DD5C89"/>
    <w:rsid w:val="00DE41D0"/>
    <w:rsid w:val="00DE5F7D"/>
    <w:rsid w:val="00DF1F58"/>
    <w:rsid w:val="00E03217"/>
    <w:rsid w:val="00E055A3"/>
    <w:rsid w:val="00E05EDB"/>
    <w:rsid w:val="00E07E9C"/>
    <w:rsid w:val="00E11A28"/>
    <w:rsid w:val="00E20EC4"/>
    <w:rsid w:val="00E22750"/>
    <w:rsid w:val="00E250BB"/>
    <w:rsid w:val="00E30705"/>
    <w:rsid w:val="00E51483"/>
    <w:rsid w:val="00E51826"/>
    <w:rsid w:val="00E5351E"/>
    <w:rsid w:val="00E53656"/>
    <w:rsid w:val="00E65C2A"/>
    <w:rsid w:val="00E70DE8"/>
    <w:rsid w:val="00E764AB"/>
    <w:rsid w:val="00E820A7"/>
    <w:rsid w:val="00E83BC8"/>
    <w:rsid w:val="00E850EA"/>
    <w:rsid w:val="00E909BD"/>
    <w:rsid w:val="00E96829"/>
    <w:rsid w:val="00E97CC2"/>
    <w:rsid w:val="00EA349E"/>
    <w:rsid w:val="00EB2AB7"/>
    <w:rsid w:val="00EC337A"/>
    <w:rsid w:val="00EE0506"/>
    <w:rsid w:val="00EE2341"/>
    <w:rsid w:val="00EE23B4"/>
    <w:rsid w:val="00EE244A"/>
    <w:rsid w:val="00EE2D71"/>
    <w:rsid w:val="00F01E8C"/>
    <w:rsid w:val="00F02BFB"/>
    <w:rsid w:val="00F03D5C"/>
    <w:rsid w:val="00F07DB6"/>
    <w:rsid w:val="00F17CBD"/>
    <w:rsid w:val="00F20658"/>
    <w:rsid w:val="00F222DE"/>
    <w:rsid w:val="00F34F92"/>
    <w:rsid w:val="00F35096"/>
    <w:rsid w:val="00F51166"/>
    <w:rsid w:val="00F64707"/>
    <w:rsid w:val="00F82281"/>
    <w:rsid w:val="00FA2F56"/>
    <w:rsid w:val="00FA687C"/>
    <w:rsid w:val="00FA6B2D"/>
    <w:rsid w:val="00FB2C4D"/>
    <w:rsid w:val="00FB2E08"/>
    <w:rsid w:val="00FC012F"/>
    <w:rsid w:val="00FC043D"/>
    <w:rsid w:val="00FD3295"/>
    <w:rsid w:val="01FB42C6"/>
    <w:rsid w:val="02E52B28"/>
    <w:rsid w:val="03633F51"/>
    <w:rsid w:val="038B593F"/>
    <w:rsid w:val="03D32EAA"/>
    <w:rsid w:val="05C874C8"/>
    <w:rsid w:val="0A8C4462"/>
    <w:rsid w:val="0CB37BAF"/>
    <w:rsid w:val="0CE64A5E"/>
    <w:rsid w:val="0F1C3C95"/>
    <w:rsid w:val="10023959"/>
    <w:rsid w:val="105C0CB9"/>
    <w:rsid w:val="12F96422"/>
    <w:rsid w:val="154C74B7"/>
    <w:rsid w:val="164963A5"/>
    <w:rsid w:val="1AF0362E"/>
    <w:rsid w:val="1CD75A11"/>
    <w:rsid w:val="1D6614F4"/>
    <w:rsid w:val="208B5E57"/>
    <w:rsid w:val="20D356A6"/>
    <w:rsid w:val="227D1127"/>
    <w:rsid w:val="229159BD"/>
    <w:rsid w:val="231E3E45"/>
    <w:rsid w:val="23FE6FD1"/>
    <w:rsid w:val="244F2331"/>
    <w:rsid w:val="25ED7CFF"/>
    <w:rsid w:val="2C9F3729"/>
    <w:rsid w:val="2CE83633"/>
    <w:rsid w:val="2D560907"/>
    <w:rsid w:val="2DBF5D7B"/>
    <w:rsid w:val="2E452FC9"/>
    <w:rsid w:val="2E89DE1C"/>
    <w:rsid w:val="2F2E417E"/>
    <w:rsid w:val="310A79B3"/>
    <w:rsid w:val="31EE4784"/>
    <w:rsid w:val="33FF7B8B"/>
    <w:rsid w:val="344B04D7"/>
    <w:rsid w:val="36587F7A"/>
    <w:rsid w:val="3B530682"/>
    <w:rsid w:val="3C6F180D"/>
    <w:rsid w:val="3CAA0266"/>
    <w:rsid w:val="402D6C07"/>
    <w:rsid w:val="40760AAC"/>
    <w:rsid w:val="40DE0554"/>
    <w:rsid w:val="42553EE8"/>
    <w:rsid w:val="43397EAC"/>
    <w:rsid w:val="454F37FC"/>
    <w:rsid w:val="462C3E28"/>
    <w:rsid w:val="48934F74"/>
    <w:rsid w:val="4A9804CE"/>
    <w:rsid w:val="4C116304"/>
    <w:rsid w:val="4C1676C1"/>
    <w:rsid w:val="4D4D1E47"/>
    <w:rsid w:val="4D902EEE"/>
    <w:rsid w:val="4E273DF4"/>
    <w:rsid w:val="563D3583"/>
    <w:rsid w:val="571E4E32"/>
    <w:rsid w:val="587A2719"/>
    <w:rsid w:val="5A160C1F"/>
    <w:rsid w:val="5AFD6C6B"/>
    <w:rsid w:val="5B8E36FB"/>
    <w:rsid w:val="5C6A5252"/>
    <w:rsid w:val="5E1629CC"/>
    <w:rsid w:val="5F767D2F"/>
    <w:rsid w:val="620E16ED"/>
    <w:rsid w:val="6571514B"/>
    <w:rsid w:val="65FA522A"/>
    <w:rsid w:val="67195065"/>
    <w:rsid w:val="68740977"/>
    <w:rsid w:val="68AC4A92"/>
    <w:rsid w:val="6BF02543"/>
    <w:rsid w:val="6CB64147"/>
    <w:rsid w:val="6E9E14B7"/>
    <w:rsid w:val="71C22B21"/>
    <w:rsid w:val="729C4002"/>
    <w:rsid w:val="729D6DC9"/>
    <w:rsid w:val="73271770"/>
    <w:rsid w:val="734C7658"/>
    <w:rsid w:val="739509AF"/>
    <w:rsid w:val="744051D9"/>
    <w:rsid w:val="7562283E"/>
    <w:rsid w:val="76141AED"/>
    <w:rsid w:val="76397F86"/>
    <w:rsid w:val="76B65054"/>
    <w:rsid w:val="771C49A5"/>
    <w:rsid w:val="79856CB1"/>
    <w:rsid w:val="7A590988"/>
    <w:rsid w:val="7CEB3072"/>
    <w:rsid w:val="7D4B7D80"/>
    <w:rsid w:val="7D8A09E3"/>
    <w:rsid w:val="7D935861"/>
    <w:rsid w:val="7FB14B97"/>
    <w:rsid w:val="BBDDBAA3"/>
    <w:rsid w:val="FE2B37E8"/>
    <w:rsid w:val="FF71B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semiHidden/>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20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4"/>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3"/>
    <w:qFormat/>
    <w:uiPriority w:val="0"/>
    <w:rPr>
      <w:rFonts w:ascii="Calibri" w:hAnsi="Calibri" w:eastAsia="宋体" w:cs="Times New Roman"/>
      <w:b/>
      <w:bCs/>
      <w:sz w:val="32"/>
      <w:szCs w:val="32"/>
    </w:rPr>
  </w:style>
  <w:style w:type="character" w:customStyle="1" w:styleId="60">
    <w:name w:val="标题 1 字符"/>
    <w:basedOn w:val="45"/>
    <w:link w:val="2"/>
    <w:qFormat/>
    <w:uiPriority w:val="0"/>
    <w:rPr>
      <w:rFonts w:ascii="宋体" w:hAnsi="宋体" w:eastAsia="黑体" w:cs="Times New Roman"/>
      <w:b/>
      <w:bCs/>
      <w:kern w:val="44"/>
      <w:sz w:val="28"/>
      <w:szCs w:val="44"/>
    </w:rPr>
  </w:style>
  <w:style w:type="character" w:customStyle="1" w:styleId="61">
    <w:name w:val="标题 4 字符"/>
    <w:basedOn w:val="45"/>
    <w:link w:val="5"/>
    <w:qFormat/>
    <w:uiPriority w:val="0"/>
    <w:rPr>
      <w:rFonts w:ascii="Arial" w:hAnsi="Arial" w:eastAsia="黑体" w:cs="Times New Roman"/>
      <w:b/>
      <w:bCs/>
      <w:sz w:val="28"/>
      <w:szCs w:val="28"/>
    </w:rPr>
  </w:style>
  <w:style w:type="character" w:customStyle="1" w:styleId="62">
    <w:name w:val="标题 5 字符"/>
    <w:basedOn w:val="45"/>
    <w:link w:val="6"/>
    <w:qFormat/>
    <w:uiPriority w:val="0"/>
    <w:rPr>
      <w:rFonts w:ascii="Times New Roman" w:hAnsi="Times New Roman" w:eastAsia="宋体" w:cs="Times New Roman"/>
      <w:b/>
      <w:sz w:val="28"/>
      <w:szCs w:val="20"/>
    </w:rPr>
  </w:style>
  <w:style w:type="character" w:customStyle="1" w:styleId="63">
    <w:name w:val="标题 6 字符"/>
    <w:basedOn w:val="45"/>
    <w:link w:val="8"/>
    <w:qFormat/>
    <w:uiPriority w:val="0"/>
    <w:rPr>
      <w:rFonts w:ascii="Arial" w:hAnsi="Arial" w:eastAsia="黑体" w:cs="Times New Roman"/>
      <w:b/>
      <w:sz w:val="24"/>
      <w:szCs w:val="20"/>
    </w:rPr>
  </w:style>
  <w:style w:type="character" w:customStyle="1" w:styleId="64">
    <w:name w:val="标题 7 字符"/>
    <w:basedOn w:val="45"/>
    <w:link w:val="9"/>
    <w:qFormat/>
    <w:uiPriority w:val="0"/>
    <w:rPr>
      <w:rFonts w:ascii="Times New Roman" w:hAnsi="Times New Roman" w:eastAsia="宋体" w:cs="Times New Roman"/>
      <w:b/>
      <w:sz w:val="24"/>
      <w:szCs w:val="20"/>
    </w:rPr>
  </w:style>
  <w:style w:type="character" w:customStyle="1" w:styleId="65">
    <w:name w:val="标题 8 字符"/>
    <w:basedOn w:val="45"/>
    <w:link w:val="10"/>
    <w:qFormat/>
    <w:uiPriority w:val="0"/>
    <w:rPr>
      <w:rFonts w:ascii="Arial" w:hAnsi="Arial" w:eastAsia="黑体" w:cs="Times New Roman"/>
      <w:sz w:val="24"/>
      <w:szCs w:val="20"/>
    </w:rPr>
  </w:style>
  <w:style w:type="character" w:customStyle="1" w:styleId="66">
    <w:name w:val="标题 9 字符"/>
    <w:basedOn w:val="45"/>
    <w:link w:val="11"/>
    <w:qFormat/>
    <w:uiPriority w:val="0"/>
    <w:rPr>
      <w:rFonts w:ascii="Arial" w:hAnsi="Arial" w:eastAsia="黑体" w:cs="Times New Roman"/>
      <w:szCs w:val="20"/>
    </w:rPr>
  </w:style>
  <w:style w:type="character" w:customStyle="1" w:styleId="67">
    <w:name w:val="批注文字 字符"/>
    <w:basedOn w:val="45"/>
    <w:link w:val="16"/>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18"/>
    <w:qFormat/>
    <w:uiPriority w:val="0"/>
    <w:rPr>
      <w:rFonts w:ascii="Calibri" w:hAnsi="Calibri" w:eastAsia="宋体" w:cs="Times New Roman"/>
      <w:szCs w:val="21"/>
    </w:rPr>
  </w:style>
  <w:style w:type="character" w:customStyle="1" w:styleId="70">
    <w:name w:val="正文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7"/>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Char"/>
    <w:basedOn w:val="45"/>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34"/>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7"/>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出段落 字符"/>
    <w:link w:val="56"/>
    <w:qFormat/>
    <w:uiPriority w:val="34"/>
    <w:rPr>
      <w:rFonts w:ascii="Calibri" w:hAnsi="Calibri"/>
      <w:kern w:val="2"/>
      <w:sz w:val="21"/>
      <w:szCs w:val="21"/>
    </w:rPr>
  </w:style>
  <w:style w:type="character" w:customStyle="1" w:styleId="204">
    <w:name w:val="纯文本 字符"/>
    <w:basedOn w:val="45"/>
    <w:link w:val="22"/>
    <w:qFormat/>
    <w:uiPriority w:val="0"/>
    <w:rPr>
      <w:rFonts w:hint="eastAsia" w:ascii="宋体" w:hAnsi="Courier New" w:eastAsia="宋体" w:cs="Courier New"/>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深圳市住房和建设局</Company>
  <Pages>11</Pages>
  <Words>96</Words>
  <Characters>99</Characters>
  <Lines>33</Lines>
  <Paragraphs>9</Paragraphs>
  <TotalTime>182</TotalTime>
  <ScaleCrop>false</ScaleCrop>
  <LinksUpToDate>false</LinksUpToDate>
  <CharactersWithSpaces>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2021-07-22T09:15:00Z</dcterms:created>
  <dc:creator>李刚</dc:creator>
  <cp:lastModifiedBy>WPS_1581317969</cp:lastModifiedBy>
  <cp:lastPrinted>2025-07-11T07:21:00Z</cp:lastPrinted>
  <dcterms:modified xsi:type="dcterms:W3CDTF">2025-07-25T09:58:00Z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12B983D24A184FC4A7C8F2234321FD92_13</vt:lpwstr>
  </property>
  <property fmtid="{D5CDD505-2E9C-101B-9397-08002B2CF9AE}" pid="4" name="KSOTemplateDocerSaveRecord">
    <vt:lpwstr>eyJoZGlkIjoiMzdiNmUxNDc5NDMwOWU1ZjE5MWM5MTNhNDhjNDVmZTUiLCJ1c2VySWQiOiIzMDY1NTQxMzEifQ==</vt:lpwstr>
  </property>
</Properties>
</file>