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bidi w:val="0"/>
        <w:spacing w:line="560" w:lineRule="exact"/>
        <w:rPr>
          <w:rFonts w:hint="eastAsia" w:ascii="黑体" w:hAnsi="黑体" w:eastAsia="黑体" w:cs="黑体"/>
          <w:b w:val="0"/>
          <w:bCs w:val="0"/>
          <w:sz w:val="32"/>
          <w:szCs w:val="32"/>
          <w:highlight w:val="none"/>
        </w:rPr>
      </w:pPr>
      <w:bookmarkStart w:id="4" w:name="_GoBack"/>
      <w:r>
        <w:rPr>
          <w:rFonts w:hint="eastAsia" w:ascii="黑体" w:hAnsi="黑体" w:eastAsia="黑体" w:cs="黑体"/>
          <w:b w:val="0"/>
          <w:bCs w:val="0"/>
          <w:sz w:val="32"/>
          <w:szCs w:val="32"/>
          <w:highlight w:val="none"/>
        </w:rPr>
        <w:t>附件</w:t>
      </w:r>
      <w:r>
        <w:rPr>
          <w:rFonts w:hint="eastAsia" w:ascii="黑体" w:hAnsi="黑体" w:eastAsia="黑体" w:cs="黑体"/>
          <w:b w:val="0"/>
          <w:bCs w:val="0"/>
          <w:sz w:val="32"/>
          <w:szCs w:val="32"/>
          <w:highlight w:val="none"/>
          <w:lang w:val="en-US" w:eastAsia="zh-CN"/>
        </w:rPr>
        <w:t>3</w:t>
      </w:r>
    </w:p>
    <w:bookmarkEnd w:id="4"/>
    <w:p>
      <w:pPr>
        <w:pageBreakBefore w:val="0"/>
        <w:kinsoku/>
        <w:overflowPunct/>
        <w:topLinePunct w:val="0"/>
        <w:bidi w:val="0"/>
        <w:spacing w:line="560" w:lineRule="exact"/>
        <w:ind w:firstLine="880" w:firstLineChars="200"/>
        <w:jc w:val="center"/>
        <w:rPr>
          <w:rFonts w:ascii="宋体" w:hAnsi="宋体" w:cs="宋体"/>
          <w:b/>
          <w:bCs/>
          <w:sz w:val="44"/>
          <w:szCs w:val="44"/>
          <w:highlight w:val="none"/>
        </w:rPr>
      </w:pPr>
    </w:p>
    <w:p>
      <w:pPr>
        <w:pageBreakBefore w:val="0"/>
        <w:kinsoku/>
        <w:overflowPunct/>
        <w:topLinePunct w:val="0"/>
        <w:bidi w:val="0"/>
        <w:spacing w:line="560" w:lineRule="exact"/>
        <w:jc w:val="center"/>
        <w:rPr>
          <w:rFonts w:hint="eastAsia" w:ascii="宋体" w:hAnsi="宋体" w:cs="宋体"/>
          <w:b/>
          <w:bCs/>
          <w:sz w:val="44"/>
          <w:szCs w:val="44"/>
          <w:highlight w:val="none"/>
        </w:rPr>
      </w:pPr>
      <w:bookmarkStart w:id="0" w:name="OLE_LINK5"/>
      <w:r>
        <w:rPr>
          <w:rFonts w:hint="eastAsia" w:ascii="宋体" w:hAnsi="宋体" w:cs="宋体"/>
          <w:b/>
          <w:bCs/>
          <w:sz w:val="44"/>
          <w:szCs w:val="44"/>
          <w:highlight w:val="none"/>
        </w:rPr>
        <w:t>202</w:t>
      </w:r>
      <w:r>
        <w:rPr>
          <w:rFonts w:hint="eastAsia" w:ascii="宋体" w:hAnsi="宋体" w:cs="宋体"/>
          <w:b/>
          <w:bCs/>
          <w:sz w:val="44"/>
          <w:szCs w:val="44"/>
          <w:highlight w:val="none"/>
          <w:lang w:val="en-US" w:eastAsia="zh-CN"/>
        </w:rPr>
        <w:t>6</w:t>
      </w:r>
      <w:r>
        <w:rPr>
          <w:rFonts w:hint="eastAsia" w:ascii="宋体" w:hAnsi="宋体" w:cs="宋体"/>
          <w:b/>
          <w:bCs/>
          <w:sz w:val="44"/>
          <w:szCs w:val="44"/>
          <w:highlight w:val="none"/>
        </w:rPr>
        <w:t>年深圳市工程建设领域绿色创新发展</w:t>
      </w:r>
    </w:p>
    <w:p>
      <w:pPr>
        <w:pageBreakBefore w:val="0"/>
        <w:kinsoku/>
        <w:overflowPunct/>
        <w:topLinePunct w:val="0"/>
        <w:bidi w:val="0"/>
        <w:spacing w:line="56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专项资金扶持计划（超低能耗建筑示范项目）申报指南</w:t>
      </w:r>
      <w:bookmarkEnd w:id="0"/>
    </w:p>
    <w:p>
      <w:pPr>
        <w:pageBreakBefore w:val="0"/>
        <w:kinsoku/>
        <w:overflowPunct/>
        <w:topLinePunct w:val="0"/>
        <w:bidi w:val="0"/>
        <w:spacing w:line="560" w:lineRule="exact"/>
        <w:ind w:firstLine="880" w:firstLineChars="200"/>
        <w:jc w:val="center"/>
        <w:rPr>
          <w:rFonts w:ascii="宋体" w:hAnsi="宋体" w:cs="宋体"/>
          <w:b/>
          <w:bCs/>
          <w:sz w:val="44"/>
          <w:szCs w:val="44"/>
          <w:highlight w:val="none"/>
        </w:rPr>
      </w:pPr>
    </w:p>
    <w:p>
      <w:pPr>
        <w:pageBreakBefore w:val="0"/>
        <w:widowControl/>
        <w:numPr>
          <w:ilvl w:val="0"/>
          <w:numId w:val="1"/>
        </w:numPr>
        <w:kinsoku/>
        <w:overflowPunct/>
        <w:topLinePunct w:val="0"/>
        <w:bidi w:val="0"/>
        <w:spacing w:line="560" w:lineRule="exact"/>
        <w:ind w:left="420" w:leftChars="200" w:firstLine="320"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申报主体</w:t>
      </w:r>
    </w:p>
    <w:p>
      <w:pPr>
        <w:pageBreakBefore w:val="0"/>
        <w:kinsoku/>
        <w:overflowPunct/>
        <w:topLinePunct w:val="0"/>
        <w:bidi w:val="0"/>
        <w:spacing w:line="560" w:lineRule="exact"/>
        <w:ind w:firstLine="640" w:firstLineChars="200"/>
        <w:jc w:val="both"/>
        <w:rPr>
          <w:rFonts w:ascii="仿宋_GB2312" w:hAnsi="仿宋_GB2312" w:eastAsia="仿宋_GB2312"/>
          <w:sz w:val="32"/>
          <w:highlight w:val="none"/>
        </w:rPr>
      </w:pPr>
      <w:r>
        <w:rPr>
          <w:rFonts w:hint="eastAsia" w:ascii="仿宋_GB2312" w:hAnsi="仿宋_GB2312" w:eastAsia="仿宋_GB2312"/>
          <w:sz w:val="32"/>
          <w:highlight w:val="none"/>
        </w:rPr>
        <w:t>项目建设单位牵头，</w:t>
      </w:r>
      <w:r>
        <w:rPr>
          <w:rFonts w:ascii="仿宋_GB2312" w:hAnsi="仿宋_GB2312" w:eastAsia="仿宋_GB2312"/>
          <w:sz w:val="32"/>
          <w:highlight w:val="none"/>
          <w:lang w:val="en"/>
        </w:rPr>
        <w:t>与设计单位和施工单位等</w:t>
      </w:r>
      <w:r>
        <w:rPr>
          <w:rFonts w:hint="eastAsia" w:ascii="仿宋_GB2312" w:hAnsi="仿宋_GB2312" w:eastAsia="仿宋_GB2312"/>
          <w:sz w:val="32"/>
          <w:highlight w:val="none"/>
        </w:rPr>
        <w:t>的联合体。</w:t>
      </w:r>
    </w:p>
    <w:p>
      <w:pPr>
        <w:pageBreakBefore w:val="0"/>
        <w:widowControl/>
        <w:kinsoku/>
        <w:overflowPunct/>
        <w:topLinePunct w:val="0"/>
        <w:bidi w:val="0"/>
        <w:spacing w:line="560" w:lineRule="exact"/>
        <w:ind w:left="741"/>
        <w:jc w:val="both"/>
        <w:rPr>
          <w:rFonts w:ascii="黑体" w:hAnsi="宋体" w:eastAsia="黑体" w:cs="宋体"/>
          <w:b/>
          <w:bCs/>
          <w:sz w:val="32"/>
          <w:szCs w:val="32"/>
          <w:highlight w:val="none"/>
        </w:rPr>
      </w:pPr>
      <w:r>
        <w:rPr>
          <w:rFonts w:hint="eastAsia" w:ascii="黑体" w:hAnsi="宋体" w:eastAsia="黑体" w:cs="宋体"/>
          <w:b/>
          <w:bCs/>
          <w:sz w:val="32"/>
          <w:szCs w:val="32"/>
          <w:highlight w:val="none"/>
        </w:rPr>
        <w:t>二、申报条件</w:t>
      </w:r>
    </w:p>
    <w:p>
      <w:pPr>
        <w:pageBreakBefore w:val="0"/>
        <w:kinsoku/>
        <w:overflowPunct/>
        <w:topLinePunct w:val="0"/>
        <w:bidi w:val="0"/>
        <w:spacing w:line="560" w:lineRule="exact"/>
        <w:ind w:firstLine="640" w:firstLineChars="200"/>
        <w:jc w:val="both"/>
        <w:rPr>
          <w:rFonts w:ascii="仿宋_GB2312" w:hAnsi="宋体" w:eastAsia="仿宋_GB2312" w:cs="宋体"/>
          <w:b/>
          <w:color w:val="000000"/>
          <w:sz w:val="32"/>
          <w:szCs w:val="32"/>
          <w:highlight w:val="none"/>
        </w:rPr>
      </w:pPr>
      <w:r>
        <w:rPr>
          <w:rFonts w:hint="eastAsia" w:ascii="仿宋_GB2312" w:hAnsi="宋体" w:eastAsia="仿宋_GB2312" w:cs="宋体"/>
          <w:b/>
          <w:color w:val="000000"/>
          <w:sz w:val="32"/>
          <w:szCs w:val="32"/>
          <w:highlight w:val="none"/>
        </w:rPr>
        <w:t>（一）申报单位应符合以下条件：</w:t>
      </w:r>
    </w:p>
    <w:p>
      <w:pPr>
        <w:pageBreakBefore w:val="0"/>
        <w:kinsoku/>
        <w:overflowPunct/>
        <w:topLinePunct w:val="0"/>
        <w:bidi w:val="0"/>
        <w:spacing w:line="560" w:lineRule="exact"/>
        <w:ind w:firstLine="640" w:firstLineChars="200"/>
        <w:jc w:val="both"/>
        <w:rPr>
          <w:rFonts w:ascii="仿宋_GB2312" w:hAnsi="宋体" w:eastAsia="仿宋_GB2312" w:cs="宋体"/>
          <w:bCs/>
          <w:sz w:val="32"/>
          <w:szCs w:val="32"/>
          <w:highlight w:val="none"/>
        </w:rPr>
      </w:pPr>
      <w:r>
        <w:rPr>
          <w:rFonts w:hint="eastAsia" w:ascii="仿宋_GB2312" w:hAnsi="宋体" w:eastAsia="仿宋_GB2312" w:cs="宋体"/>
          <w:bCs/>
          <w:sz w:val="32"/>
          <w:szCs w:val="32"/>
          <w:highlight w:val="none"/>
        </w:rPr>
        <w:t>1.</w:t>
      </w:r>
      <w:r>
        <w:rPr>
          <w:rFonts w:hint="eastAsia" w:ascii="仿宋_GB2312" w:eastAsia="仿宋_GB2312"/>
          <w:sz w:val="32"/>
          <w:szCs w:val="32"/>
          <w:highlight w:val="none"/>
        </w:rPr>
        <w:t>中国国内注册，具备独立法人资格的企事业单位或其他社会组织；</w:t>
      </w:r>
    </w:p>
    <w:p>
      <w:pPr>
        <w:pageBreakBefore w:val="0"/>
        <w:kinsoku/>
        <w:overflowPunct/>
        <w:topLinePunct w:val="0"/>
        <w:bidi w:val="0"/>
        <w:spacing w:line="560" w:lineRule="exact"/>
        <w:ind w:firstLine="640" w:firstLineChars="200"/>
        <w:jc w:val="both"/>
        <w:rPr>
          <w:rFonts w:ascii="仿宋_GB2312" w:eastAsia="仿宋_GB2312"/>
          <w:sz w:val="32"/>
          <w:szCs w:val="32"/>
          <w:highlight w:val="none"/>
        </w:rPr>
      </w:pPr>
      <w:r>
        <w:rPr>
          <w:rFonts w:hint="eastAsia" w:ascii="仿宋_GB2312" w:hAnsi="宋体" w:eastAsia="仿宋_GB2312" w:cs="宋体"/>
          <w:bCs/>
          <w:sz w:val="32"/>
          <w:szCs w:val="32"/>
          <w:highlight w:val="none"/>
        </w:rPr>
        <w:t>2.</w:t>
      </w:r>
      <w:r>
        <w:rPr>
          <w:rFonts w:hint="eastAsia" w:ascii="仿宋_GB2312" w:eastAsia="仿宋_GB2312"/>
          <w:sz w:val="32"/>
          <w:szCs w:val="32"/>
          <w:highlight w:val="none"/>
        </w:rPr>
        <w:t>具备健全的财务核算和管理体系，正常</w:t>
      </w:r>
      <w:bookmarkStart w:id="1" w:name="OLE_LINK1"/>
      <w:r>
        <w:rPr>
          <w:rFonts w:hint="eastAsia" w:ascii="仿宋_GB2312" w:eastAsia="仿宋_GB2312"/>
          <w:sz w:val="32"/>
          <w:szCs w:val="32"/>
          <w:highlight w:val="none"/>
        </w:rPr>
        <w:t>经营满1年以上</w:t>
      </w:r>
      <w:bookmarkEnd w:id="1"/>
      <w:r>
        <w:rPr>
          <w:rFonts w:hint="eastAsia" w:ascii="仿宋_GB2312" w:eastAsia="仿宋_GB2312"/>
          <w:sz w:val="32"/>
          <w:szCs w:val="32"/>
          <w:highlight w:val="none"/>
        </w:rPr>
        <w:t>。</w:t>
      </w:r>
    </w:p>
    <w:p>
      <w:pPr>
        <w:pageBreakBefore w:val="0"/>
        <w:kinsoku/>
        <w:overflowPunct/>
        <w:topLinePunct w:val="0"/>
        <w:bidi w:val="0"/>
        <w:spacing w:line="560" w:lineRule="exact"/>
        <w:ind w:firstLine="640" w:firstLineChars="200"/>
        <w:jc w:val="both"/>
        <w:rPr>
          <w:rFonts w:ascii="仿宋_GB2312" w:eastAsia="仿宋_GB2312"/>
          <w:b/>
          <w:bCs/>
          <w:color w:val="000000"/>
          <w:sz w:val="32"/>
          <w:szCs w:val="32"/>
          <w:highlight w:val="none"/>
        </w:rPr>
      </w:pPr>
      <w:r>
        <w:rPr>
          <w:rFonts w:hint="eastAsia" w:ascii="仿宋_GB2312" w:eastAsia="仿宋_GB2312"/>
          <w:b/>
          <w:bCs/>
          <w:color w:val="000000"/>
          <w:sz w:val="32"/>
          <w:szCs w:val="32"/>
          <w:highlight w:val="none"/>
        </w:rPr>
        <w:t>（二）申报项目应符合以下条件：</w:t>
      </w:r>
    </w:p>
    <w:p>
      <w:pPr>
        <w:pageBreakBefore w:val="0"/>
        <w:kinsoku/>
        <w:overflowPunct/>
        <w:topLinePunct w:val="0"/>
        <w:bidi w:val="0"/>
        <w:spacing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1.必须为深圳市行政区域（含深汕特别合作区）实施的工程建设项目；</w:t>
      </w:r>
    </w:p>
    <w:p>
      <w:pPr>
        <w:pageBreakBefore w:val="0"/>
        <w:kinsoku/>
        <w:overflowPunct/>
        <w:topLinePunct w:val="0"/>
        <w:bidi w:val="0"/>
        <w:spacing w:line="560" w:lineRule="exact"/>
        <w:ind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rPr>
        <w:t>2.</w:t>
      </w:r>
      <w:r>
        <w:rPr>
          <w:rFonts w:hint="eastAsia" w:ascii="仿宋_GB2312" w:eastAsia="仿宋_GB2312"/>
          <w:sz w:val="32"/>
          <w:szCs w:val="32"/>
          <w:highlight w:val="none"/>
          <w:lang w:eastAsia="zh-CN"/>
        </w:rPr>
        <w:t>满足</w:t>
      </w:r>
      <w:r>
        <w:rPr>
          <w:rFonts w:hint="eastAsia" w:ascii="仿宋_GB2312" w:eastAsia="仿宋_GB2312"/>
          <w:sz w:val="32"/>
          <w:szCs w:val="32"/>
          <w:highlight w:val="none"/>
        </w:rPr>
        <w:t>国家《近零能耗建筑技术标准》（GB/T51350-2019）或《深圳市超低能耗建筑技术导则》标准</w:t>
      </w:r>
      <w:r>
        <w:rPr>
          <w:rFonts w:hint="eastAsia" w:ascii="仿宋_GB2312" w:eastAsia="仿宋_GB2312"/>
          <w:sz w:val="32"/>
          <w:szCs w:val="32"/>
          <w:highlight w:val="none"/>
          <w:lang w:eastAsia="zh-CN"/>
        </w:rPr>
        <w:t>要求</w:t>
      </w:r>
      <w:r>
        <w:rPr>
          <w:rFonts w:hint="eastAsia" w:ascii="仿宋_GB2312" w:eastAsia="仿宋_GB2312"/>
          <w:sz w:val="32"/>
          <w:szCs w:val="32"/>
          <w:highlight w:val="none"/>
        </w:rPr>
        <w:t>，且</w:t>
      </w:r>
      <w:r>
        <w:rPr>
          <w:rFonts w:hint="eastAsia" w:ascii="仿宋_GB2312" w:eastAsia="仿宋_GB2312"/>
          <w:sz w:val="32"/>
          <w:szCs w:val="32"/>
          <w:highlight w:val="none"/>
          <w:lang w:eastAsia="zh-CN"/>
        </w:rPr>
        <w:t>已纳入本</w:t>
      </w:r>
      <w:r>
        <w:rPr>
          <w:rFonts w:hint="eastAsia" w:ascii="仿宋_GB2312" w:eastAsia="仿宋_GB2312"/>
          <w:sz w:val="32"/>
          <w:szCs w:val="32"/>
          <w:highlight w:val="none"/>
        </w:rPr>
        <w:t>市</w:t>
      </w:r>
      <w:r>
        <w:rPr>
          <w:rFonts w:hint="eastAsia" w:ascii="仿宋_GB2312" w:eastAsia="仿宋_GB2312"/>
          <w:sz w:val="32"/>
          <w:szCs w:val="32"/>
          <w:highlight w:val="none"/>
          <w:lang w:eastAsia="zh-CN"/>
        </w:rPr>
        <w:t>级以上</w:t>
      </w:r>
      <w:r>
        <w:rPr>
          <w:rFonts w:hint="eastAsia" w:ascii="仿宋_GB2312" w:eastAsia="仿宋_GB2312"/>
          <w:sz w:val="32"/>
          <w:szCs w:val="32"/>
          <w:highlight w:val="none"/>
        </w:rPr>
        <w:t>超低能耗、近零能耗或近零碳建筑认定的</w:t>
      </w:r>
      <w:r>
        <w:rPr>
          <w:rFonts w:hint="eastAsia" w:ascii="仿宋_GB2312" w:eastAsia="仿宋_GB2312"/>
          <w:sz w:val="32"/>
          <w:szCs w:val="32"/>
          <w:highlight w:val="none"/>
          <w:lang w:val="en-US" w:eastAsia="zh-CN"/>
        </w:rPr>
        <w:t>试点</w:t>
      </w:r>
      <w:r>
        <w:rPr>
          <w:rFonts w:hint="eastAsia" w:ascii="仿宋_GB2312" w:eastAsia="仿宋_GB2312"/>
          <w:sz w:val="32"/>
          <w:szCs w:val="32"/>
          <w:highlight w:val="none"/>
        </w:rPr>
        <w:t>项目</w:t>
      </w:r>
      <w:r>
        <w:rPr>
          <w:rFonts w:hint="eastAsia" w:ascii="仿宋_GB2312" w:eastAsia="仿宋_GB2312"/>
          <w:sz w:val="32"/>
          <w:szCs w:val="32"/>
          <w:highlight w:val="none"/>
          <w:lang w:eastAsia="zh-CN"/>
        </w:rPr>
        <w:t>清单</w:t>
      </w:r>
      <w:r>
        <w:rPr>
          <w:rFonts w:hint="eastAsia" w:ascii="仿宋_GB2312" w:eastAsia="仿宋_GB2312"/>
          <w:sz w:val="32"/>
          <w:szCs w:val="32"/>
          <w:highlight w:val="none"/>
        </w:rPr>
        <w:t>，以超低能耗、近零能耗或近零碳建筑为建设目标的建成并投入使用满一年的运营项目</w:t>
      </w:r>
      <w:r>
        <w:rPr>
          <w:rFonts w:hint="eastAsia" w:ascii="仿宋_GB2312" w:eastAsia="仿宋_GB2312"/>
          <w:sz w:val="32"/>
          <w:szCs w:val="32"/>
          <w:highlight w:val="none"/>
          <w:lang w:eastAsia="zh-CN"/>
        </w:rPr>
        <w:t>；</w:t>
      </w:r>
    </w:p>
    <w:p>
      <w:pPr>
        <w:pageBreakBefore w:val="0"/>
        <w:kinsoku/>
        <w:overflowPunct/>
        <w:topLinePunct w:val="0"/>
        <w:bidi w:val="0"/>
        <w:spacing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3.必须符合国家产业政策和工程建设行业发展方向，能够促进工程建设领域绿色创新发展，具有较好的社会、环境和经济效益，能够发挥良好示范意义和较强带动作用；</w:t>
      </w:r>
    </w:p>
    <w:p>
      <w:pPr>
        <w:pageBreakBefore w:val="0"/>
        <w:kinsoku/>
        <w:overflowPunct/>
        <w:topLinePunct w:val="0"/>
        <w:bidi w:val="0"/>
        <w:adjustRightInd w:val="0"/>
        <w:snapToGrid w:val="0"/>
        <w:spacing w:line="560" w:lineRule="exact"/>
        <w:ind w:firstLine="640" w:firstLineChars="200"/>
        <w:jc w:val="both"/>
        <w:rPr>
          <w:rFonts w:hint="eastAsia" w:ascii="仿宋_GB2312" w:eastAsia="仿宋_GB2312"/>
          <w:color w:val="000000"/>
          <w:sz w:val="32"/>
          <w:szCs w:val="32"/>
          <w:highlight w:val="none"/>
          <w:lang w:val="en" w:eastAsia="zh-CN"/>
        </w:rPr>
      </w:pPr>
      <w:r>
        <w:rPr>
          <w:rFonts w:hint="eastAsia" w:ascii="仿宋_GB2312" w:eastAsia="仿宋_GB2312"/>
          <w:sz w:val="32"/>
          <w:szCs w:val="32"/>
          <w:highlight w:val="none"/>
        </w:rPr>
        <w:t>4</w:t>
      </w:r>
      <w:r>
        <w:rPr>
          <w:rFonts w:ascii="仿宋_GB2312" w:eastAsia="仿宋_GB2312"/>
          <w:sz w:val="32"/>
          <w:szCs w:val="32"/>
          <w:highlight w:val="none"/>
        </w:rPr>
        <w:t>.</w:t>
      </w:r>
      <w:r>
        <w:rPr>
          <w:rFonts w:hint="eastAsia" w:ascii="仿宋_GB2312" w:eastAsia="仿宋_GB2312"/>
          <w:color w:val="000000"/>
          <w:sz w:val="32"/>
          <w:szCs w:val="32"/>
          <w:highlight w:val="none"/>
        </w:rPr>
        <w:t>公共建筑项目应当安装用电等能耗分项计量装置和建筑能耗实时监测设备，并将监测数据实时传输至深圳市建筑能耗监测平台数据中心并取得确认文件</w:t>
      </w:r>
      <w:r>
        <w:rPr>
          <w:rFonts w:hint="eastAsia" w:ascii="仿宋_GB2312" w:eastAsia="仿宋_GB2312"/>
          <w:color w:val="00000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bCs/>
          <w:color w:val="auto"/>
          <w:sz w:val="32"/>
          <w:szCs w:val="32"/>
          <w:highlight w:val="none"/>
        </w:rPr>
      </w:pPr>
      <w:r>
        <w:rPr>
          <w:rFonts w:hint="eastAsia" w:ascii="仿宋_GB2312" w:hAnsi="宋体" w:eastAsia="仿宋_GB2312" w:cs="Times New Roman"/>
          <w:bCs/>
          <w:color w:val="auto"/>
          <w:sz w:val="32"/>
          <w:szCs w:val="32"/>
          <w:highlight w:val="none"/>
        </w:rPr>
        <w:t>以上项目，符合下列条件之一的，</w:t>
      </w:r>
      <w:r>
        <w:rPr>
          <w:rFonts w:hint="default" w:ascii="仿宋_GB2312" w:hAnsi="宋体" w:eastAsia="仿宋_GB2312" w:cs="Times New Roman"/>
          <w:bCs/>
          <w:color w:val="auto"/>
          <w:sz w:val="32"/>
          <w:szCs w:val="32"/>
          <w:highlight w:val="none"/>
          <w:lang w:val="en"/>
        </w:rPr>
        <w:t>可</w:t>
      </w:r>
      <w:r>
        <w:rPr>
          <w:rFonts w:hint="eastAsia" w:ascii="仿宋_GB2312" w:hAnsi="宋体" w:eastAsia="仿宋_GB2312" w:cs="Times New Roman"/>
          <w:bCs/>
          <w:color w:val="auto"/>
          <w:sz w:val="32"/>
          <w:szCs w:val="32"/>
          <w:highlight w:val="none"/>
        </w:rPr>
        <w:t>优先纳入</w:t>
      </w:r>
      <w:r>
        <w:rPr>
          <w:rFonts w:hint="eastAsia" w:ascii="仿宋_GB2312" w:hAnsi="宋体" w:eastAsia="仿宋_GB2312" w:cs="Times New Roman"/>
          <w:bCs/>
          <w:color w:val="auto"/>
          <w:sz w:val="32"/>
          <w:szCs w:val="32"/>
          <w:highlight w:val="none"/>
          <w:lang w:eastAsia="zh-CN"/>
        </w:rPr>
        <w:t>扶持</w:t>
      </w:r>
      <w:r>
        <w:rPr>
          <w:rFonts w:hint="eastAsia" w:ascii="仿宋_GB2312" w:hAnsi="宋体" w:eastAsia="仿宋_GB2312" w:cs="Times New Roman"/>
          <w:bCs/>
          <w:color w:val="auto"/>
          <w:sz w:val="32"/>
          <w:szCs w:val="32"/>
          <w:highlight w:val="none"/>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bCs/>
          <w:color w:val="auto"/>
          <w:sz w:val="32"/>
          <w:szCs w:val="32"/>
          <w:highlight w:val="none"/>
        </w:rPr>
      </w:pPr>
      <w:r>
        <w:rPr>
          <w:rFonts w:hint="eastAsia" w:ascii="仿宋_GB2312" w:hAnsi="宋体" w:eastAsia="仿宋_GB2312" w:cs="Times New Roman"/>
          <w:bCs/>
          <w:color w:val="auto"/>
          <w:sz w:val="32"/>
          <w:szCs w:val="32"/>
          <w:highlight w:val="none"/>
        </w:rPr>
        <w:t>（1）</w:t>
      </w:r>
      <w:r>
        <w:rPr>
          <w:rFonts w:hint="default" w:ascii="仿宋_GB2312" w:hAnsi="宋体" w:eastAsia="仿宋_GB2312" w:cs="Times New Roman"/>
          <w:bCs/>
          <w:color w:val="auto"/>
          <w:sz w:val="32"/>
          <w:szCs w:val="32"/>
          <w:highlight w:val="none"/>
          <w:lang w:val="en"/>
        </w:rPr>
        <w:t>获得国家</w:t>
      </w:r>
      <w:r>
        <w:rPr>
          <w:rFonts w:hint="eastAsia" w:ascii="仿宋_GB2312" w:hAnsi="宋体" w:eastAsia="仿宋_GB2312" w:cs="Times New Roman"/>
          <w:bCs/>
          <w:color w:val="auto"/>
          <w:sz w:val="32"/>
          <w:szCs w:val="32"/>
          <w:highlight w:val="none"/>
          <w:lang w:val="en-US" w:eastAsia="zh-CN"/>
        </w:rPr>
        <w:t>或</w:t>
      </w:r>
      <w:r>
        <w:rPr>
          <w:rFonts w:hint="default" w:ascii="仿宋_GB2312" w:hAnsi="宋体" w:eastAsia="仿宋_GB2312" w:cs="Times New Roman"/>
          <w:bCs/>
          <w:color w:val="auto"/>
          <w:sz w:val="32"/>
          <w:szCs w:val="32"/>
          <w:highlight w:val="none"/>
          <w:lang w:val="en"/>
        </w:rPr>
        <w:t>地方绿色建筑高星级标识</w:t>
      </w:r>
      <w:r>
        <w:rPr>
          <w:rFonts w:hint="eastAsia" w:ascii="仿宋_GB2312" w:hAnsi="宋体" w:eastAsia="仿宋_GB2312" w:cs="Times New Roman"/>
          <w:bCs/>
          <w:color w:val="auto"/>
          <w:sz w:val="32"/>
          <w:szCs w:val="32"/>
          <w:highlight w:val="none"/>
          <w:lang w:val="en" w:eastAsia="zh-CN"/>
        </w:rPr>
        <w:t>且在</w:t>
      </w:r>
      <w:r>
        <w:rPr>
          <w:rFonts w:hint="default" w:ascii="仿宋_GB2312" w:hAnsi="宋体" w:eastAsia="仿宋_GB2312" w:cs="Times New Roman"/>
          <w:bCs/>
          <w:color w:val="auto"/>
          <w:sz w:val="32"/>
          <w:szCs w:val="32"/>
          <w:highlight w:val="none"/>
          <w:lang w:val="en"/>
        </w:rPr>
        <w:t>标识</w:t>
      </w:r>
      <w:r>
        <w:rPr>
          <w:rFonts w:hint="eastAsia" w:ascii="仿宋_GB2312" w:hAnsi="宋体" w:eastAsia="仿宋_GB2312" w:cs="Times New Roman"/>
          <w:bCs/>
          <w:color w:val="auto"/>
          <w:sz w:val="32"/>
          <w:szCs w:val="32"/>
          <w:highlight w:val="none"/>
          <w:lang w:val="en" w:eastAsia="zh-CN"/>
        </w:rPr>
        <w:t>证书有效期内</w:t>
      </w:r>
      <w:r>
        <w:rPr>
          <w:rFonts w:hint="default" w:ascii="仿宋_GB2312" w:hAnsi="宋体" w:eastAsia="仿宋_GB2312" w:cs="Times New Roman"/>
          <w:bCs/>
          <w:color w:val="auto"/>
          <w:sz w:val="32"/>
          <w:szCs w:val="32"/>
          <w:highlight w:val="none"/>
          <w:lang w:val="en"/>
        </w:rPr>
        <w:t>的</w:t>
      </w:r>
      <w:r>
        <w:rPr>
          <w:rFonts w:hint="eastAsia" w:ascii="仿宋_GB2312" w:hAnsi="宋体" w:eastAsia="仿宋_GB2312" w:cs="Times New Roman"/>
          <w:bCs/>
          <w:color w:val="auto"/>
          <w:sz w:val="32"/>
          <w:szCs w:val="32"/>
          <w:highlight w:val="none"/>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bCs/>
          <w:color w:val="auto"/>
          <w:sz w:val="32"/>
          <w:szCs w:val="32"/>
          <w:highlight w:val="none"/>
        </w:rPr>
      </w:pPr>
      <w:r>
        <w:rPr>
          <w:rFonts w:hint="eastAsia" w:ascii="仿宋_GB2312" w:hAnsi="宋体" w:eastAsia="仿宋_GB2312" w:cs="Times New Roman"/>
          <w:bCs/>
          <w:color w:val="auto"/>
          <w:sz w:val="32"/>
          <w:szCs w:val="32"/>
          <w:highlight w:val="none"/>
        </w:rPr>
        <w:t>（</w:t>
      </w:r>
      <w:r>
        <w:rPr>
          <w:rFonts w:hint="eastAsia" w:ascii="仿宋_GB2312" w:hAnsi="宋体" w:eastAsia="仿宋_GB2312" w:cs="Times New Roman"/>
          <w:bCs/>
          <w:color w:val="auto"/>
          <w:sz w:val="32"/>
          <w:szCs w:val="32"/>
          <w:highlight w:val="none"/>
          <w:lang w:val="en-US" w:eastAsia="zh-CN"/>
        </w:rPr>
        <w:t>2</w:t>
      </w:r>
      <w:r>
        <w:rPr>
          <w:rFonts w:hint="eastAsia" w:ascii="仿宋_GB2312" w:hAnsi="宋体" w:eastAsia="仿宋_GB2312" w:cs="Times New Roman"/>
          <w:bCs/>
          <w:color w:val="auto"/>
          <w:sz w:val="32"/>
          <w:szCs w:val="32"/>
          <w:highlight w:val="none"/>
        </w:rPr>
        <w:t>）</w:t>
      </w:r>
      <w:r>
        <w:rPr>
          <w:rFonts w:hint="eastAsia" w:ascii="仿宋_GB2312" w:hAnsi="宋体" w:eastAsia="仿宋_GB2312" w:cs="Times New Roman"/>
          <w:bCs/>
          <w:color w:val="auto"/>
          <w:sz w:val="32"/>
          <w:szCs w:val="32"/>
          <w:highlight w:val="none"/>
          <w:lang w:val="en"/>
        </w:rPr>
        <w:t>纳入本市及以上住房建设</w:t>
      </w:r>
      <w:r>
        <w:rPr>
          <w:rFonts w:hint="eastAsia" w:ascii="仿宋_GB2312" w:hAnsi="宋体" w:eastAsia="仿宋_GB2312" w:cs="Times New Roman"/>
          <w:bCs/>
          <w:color w:val="auto"/>
          <w:sz w:val="32"/>
          <w:szCs w:val="32"/>
          <w:highlight w:val="none"/>
          <w:lang w:val="en" w:eastAsia="zh-CN"/>
        </w:rPr>
        <w:t>行政</w:t>
      </w:r>
      <w:r>
        <w:rPr>
          <w:rFonts w:hint="eastAsia" w:ascii="仿宋_GB2312" w:hAnsi="宋体" w:eastAsia="仿宋_GB2312" w:cs="Times New Roman"/>
          <w:bCs/>
          <w:color w:val="auto"/>
          <w:sz w:val="32"/>
          <w:szCs w:val="32"/>
          <w:highlight w:val="none"/>
          <w:lang w:val="en"/>
        </w:rPr>
        <w:t>主管部门</w:t>
      </w:r>
      <w:r>
        <w:rPr>
          <w:rFonts w:hint="eastAsia" w:ascii="仿宋_GB2312" w:hAnsi="宋体" w:eastAsia="仿宋_GB2312" w:cs="Times New Roman"/>
          <w:bCs/>
          <w:color w:val="auto"/>
          <w:sz w:val="32"/>
          <w:szCs w:val="32"/>
          <w:highlight w:val="none"/>
          <w:lang w:val="en" w:eastAsia="zh-CN"/>
        </w:rPr>
        <w:t>发布的</w:t>
      </w:r>
      <w:r>
        <w:rPr>
          <w:rFonts w:hint="eastAsia" w:ascii="仿宋_GB2312" w:hAnsi="宋体" w:eastAsia="仿宋_GB2312" w:cs="Times New Roman"/>
          <w:bCs/>
          <w:color w:val="auto"/>
          <w:sz w:val="32"/>
          <w:szCs w:val="32"/>
          <w:highlight w:val="none"/>
          <w:lang w:val="en"/>
        </w:rPr>
        <w:t>建筑光伏一体化（BIPV）和“光储直柔”建筑试点项目清单的</w:t>
      </w:r>
      <w:r>
        <w:rPr>
          <w:rFonts w:hint="eastAsia" w:ascii="仿宋_GB2312" w:hAnsi="宋体" w:eastAsia="仿宋_GB2312" w:cs="Times New Roman"/>
          <w:bCs/>
          <w:color w:val="auto"/>
          <w:sz w:val="32"/>
          <w:szCs w:val="32"/>
          <w:highlight w:val="none"/>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Cs/>
          <w:color w:val="000000"/>
          <w:sz w:val="32"/>
          <w:szCs w:val="32"/>
          <w:highlight w:val="none"/>
          <w:lang w:val="en"/>
        </w:rPr>
      </w:pPr>
      <w:r>
        <w:rPr>
          <w:rFonts w:hint="eastAsia" w:ascii="仿宋_GB2312" w:hAnsi="宋体" w:eastAsia="仿宋_GB2312" w:cs="Times New Roman"/>
          <w:bCs/>
          <w:color w:val="auto"/>
          <w:sz w:val="32"/>
          <w:szCs w:val="32"/>
          <w:highlight w:val="none"/>
        </w:rPr>
        <w:t>（</w:t>
      </w:r>
      <w:r>
        <w:rPr>
          <w:rFonts w:hint="eastAsia" w:ascii="仿宋_GB2312" w:hAnsi="宋体" w:eastAsia="仿宋_GB2312" w:cs="Times New Roman"/>
          <w:bCs/>
          <w:color w:val="auto"/>
          <w:sz w:val="32"/>
          <w:szCs w:val="32"/>
          <w:highlight w:val="none"/>
          <w:lang w:val="en-US" w:eastAsia="zh-CN"/>
        </w:rPr>
        <w:t>3</w:t>
      </w:r>
      <w:r>
        <w:rPr>
          <w:rFonts w:hint="eastAsia" w:ascii="仿宋_GB2312" w:hAnsi="宋体" w:eastAsia="仿宋_GB2312" w:cs="Times New Roman"/>
          <w:bCs/>
          <w:color w:val="auto"/>
          <w:sz w:val="32"/>
          <w:szCs w:val="32"/>
          <w:highlight w:val="none"/>
        </w:rPr>
        <w:t>）</w:t>
      </w:r>
      <w:r>
        <w:rPr>
          <w:rFonts w:hint="eastAsia" w:ascii="仿宋_GB2312" w:hAnsi="宋体" w:eastAsia="仿宋_GB2312" w:cs="Times New Roman"/>
          <w:bCs/>
          <w:color w:val="auto"/>
          <w:sz w:val="32"/>
          <w:szCs w:val="32"/>
          <w:highlight w:val="none"/>
          <w:lang w:val="en"/>
        </w:rPr>
        <w:t>纳入本市及以上住房建设</w:t>
      </w:r>
      <w:r>
        <w:rPr>
          <w:rFonts w:hint="eastAsia" w:ascii="仿宋_GB2312" w:hAnsi="宋体" w:eastAsia="仿宋_GB2312" w:cs="Times New Roman"/>
          <w:bCs/>
          <w:color w:val="auto"/>
          <w:sz w:val="32"/>
          <w:szCs w:val="32"/>
          <w:highlight w:val="none"/>
          <w:lang w:val="en" w:eastAsia="zh-CN"/>
        </w:rPr>
        <w:t>行政</w:t>
      </w:r>
      <w:r>
        <w:rPr>
          <w:rFonts w:hint="eastAsia" w:ascii="仿宋_GB2312" w:hAnsi="宋体" w:eastAsia="仿宋_GB2312" w:cs="Times New Roman"/>
          <w:bCs/>
          <w:color w:val="auto"/>
          <w:sz w:val="32"/>
          <w:szCs w:val="32"/>
          <w:highlight w:val="none"/>
          <w:lang w:val="en"/>
        </w:rPr>
        <w:t>主管部门</w:t>
      </w:r>
      <w:r>
        <w:rPr>
          <w:rFonts w:hint="eastAsia" w:ascii="仿宋_GB2312" w:hAnsi="宋体" w:eastAsia="仿宋_GB2312" w:cs="Times New Roman"/>
          <w:bCs/>
          <w:color w:val="auto"/>
          <w:sz w:val="32"/>
          <w:szCs w:val="32"/>
          <w:highlight w:val="none"/>
          <w:lang w:val="en" w:eastAsia="zh-CN"/>
        </w:rPr>
        <w:t>发布的</w:t>
      </w:r>
      <w:r>
        <w:rPr>
          <w:rFonts w:hint="eastAsia" w:ascii="仿宋_GB2312" w:hAnsi="宋体" w:eastAsia="仿宋_GB2312" w:cs="Times New Roman"/>
          <w:bCs/>
          <w:color w:val="auto"/>
          <w:sz w:val="32"/>
          <w:szCs w:val="32"/>
          <w:highlight w:val="none"/>
          <w:lang w:val="en"/>
        </w:rPr>
        <w:t>建设科技计划</w:t>
      </w:r>
      <w:r>
        <w:rPr>
          <w:rFonts w:hint="eastAsia" w:ascii="仿宋_GB2312" w:hAnsi="宋体" w:eastAsia="仿宋_GB2312" w:cs="Times New Roman"/>
          <w:bCs/>
          <w:color w:val="auto"/>
          <w:sz w:val="32"/>
          <w:szCs w:val="32"/>
          <w:highlight w:val="none"/>
          <w:lang w:val="en" w:eastAsia="zh-CN"/>
        </w:rPr>
        <w:t>项目</w:t>
      </w:r>
      <w:r>
        <w:rPr>
          <w:rFonts w:hint="eastAsia" w:ascii="仿宋_GB2312" w:hAnsi="宋体" w:eastAsia="仿宋_GB2312" w:cs="Times New Roman"/>
          <w:bCs/>
          <w:color w:val="auto"/>
          <w:sz w:val="32"/>
          <w:szCs w:val="32"/>
          <w:highlight w:val="none"/>
          <w:lang w:val="en"/>
        </w:rPr>
        <w:t>清单并通过验收的</w:t>
      </w:r>
      <w:r>
        <w:rPr>
          <w:rFonts w:hint="eastAsia" w:ascii="仿宋_GB2312" w:hAnsi="宋体" w:eastAsia="仿宋_GB2312" w:cs="Times New Roman"/>
          <w:bCs/>
          <w:color w:val="auto"/>
          <w:sz w:val="32"/>
          <w:szCs w:val="32"/>
          <w:highlight w:val="none"/>
        </w:rPr>
        <w:t>项目</w:t>
      </w:r>
      <w:r>
        <w:rPr>
          <w:rFonts w:hint="eastAsia" w:ascii="仿宋_GB2312" w:hAnsi="宋体" w:eastAsia="仿宋_GB2312" w:cs="Times New Roman"/>
          <w:bCs/>
          <w:color w:val="auto"/>
          <w:sz w:val="32"/>
          <w:szCs w:val="32"/>
          <w:highlight w:val="none"/>
          <w:lang w:eastAsia="zh-CN"/>
        </w:rPr>
        <w:t>。</w:t>
      </w:r>
    </w:p>
    <w:p>
      <w:pPr>
        <w:pageBreakBefore w:val="0"/>
        <w:kinsoku/>
        <w:overflowPunct/>
        <w:topLinePunct w:val="0"/>
        <w:bidi w:val="0"/>
        <w:spacing w:line="560" w:lineRule="exact"/>
        <w:ind w:firstLine="640" w:firstLineChars="200"/>
        <w:jc w:val="both"/>
        <w:rPr>
          <w:rFonts w:ascii="仿宋_GB2312" w:eastAsia="仿宋_GB2312"/>
          <w:b/>
          <w:bCs/>
          <w:sz w:val="32"/>
          <w:szCs w:val="32"/>
          <w:highlight w:val="none"/>
        </w:rPr>
      </w:pPr>
      <w:r>
        <w:rPr>
          <w:rFonts w:hint="eastAsia" w:ascii="仿宋_GB2312" w:eastAsia="仿宋_GB2312"/>
          <w:b/>
          <w:bCs/>
          <w:sz w:val="32"/>
          <w:szCs w:val="32"/>
          <w:highlight w:val="none"/>
        </w:rPr>
        <w:t>（三）按照《深圳市工程建设领域绿色创新发展专项资金管理办法》相关规定，有下列情形之一的，专项资金不予扶持：</w:t>
      </w:r>
    </w:p>
    <w:p>
      <w:pPr>
        <w:pageBreakBefore w:val="0"/>
        <w:kinsoku/>
        <w:overflowPunct/>
        <w:topLinePunct w:val="0"/>
        <w:bidi w:val="0"/>
        <w:spacing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1.所提供的材料不真实、不完整，存在弄虚作假、套取、骗取专项资金情形的；</w:t>
      </w:r>
    </w:p>
    <w:p>
      <w:pPr>
        <w:pageBreakBefore w:val="0"/>
        <w:kinsoku/>
        <w:overflowPunct/>
        <w:topLinePunct w:val="0"/>
        <w:bidi w:val="0"/>
        <w:spacing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2.存在以同一事项重复申报或多头申报市级财政专项资金的；</w:t>
      </w:r>
    </w:p>
    <w:p>
      <w:pPr>
        <w:pageBreakBefore w:val="0"/>
        <w:kinsoku/>
        <w:overflowPunct/>
        <w:topLinePunct w:val="0"/>
        <w:bidi w:val="0"/>
        <w:spacing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3.按照联合惩戒政策和制度规定，被依法列入失信联合惩戒名单的；</w:t>
      </w:r>
    </w:p>
    <w:p>
      <w:pPr>
        <w:pageBreakBefore w:val="0"/>
        <w:kinsoku/>
        <w:overflowPunct/>
        <w:topLinePunct w:val="0"/>
        <w:bidi w:val="0"/>
        <w:spacing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4.被监管部门责令限期拆除违法建筑但拒不拆除或逾期不拆除的；</w:t>
      </w:r>
    </w:p>
    <w:p>
      <w:pPr>
        <w:pageBreakBefore w:val="0"/>
        <w:kinsoku/>
        <w:overflowPunct/>
        <w:topLinePunct w:val="0"/>
        <w:bidi w:val="0"/>
        <w:spacing w:line="560" w:lineRule="exact"/>
        <w:ind w:firstLine="640" w:firstLineChars="200"/>
        <w:jc w:val="both"/>
        <w:rPr>
          <w:rFonts w:ascii="仿宋_GB2312" w:eastAsia="仿宋_GB2312"/>
          <w:color w:val="000000"/>
          <w:sz w:val="32"/>
          <w:szCs w:val="32"/>
          <w:highlight w:val="none"/>
        </w:rPr>
      </w:pPr>
      <w:r>
        <w:rPr>
          <w:rFonts w:hint="eastAsia" w:ascii="仿宋_GB2312" w:eastAsia="仿宋_GB2312"/>
          <w:sz w:val="32"/>
          <w:szCs w:val="32"/>
          <w:highlight w:val="none"/>
        </w:rPr>
        <w:t>5.发生较大及以上安全生产事故未满3年的；发生一般安全生产事故未满1年的</w:t>
      </w:r>
      <w:r>
        <w:rPr>
          <w:rFonts w:hint="eastAsia" w:ascii="仿宋_GB2312" w:eastAsia="仿宋_GB2312"/>
          <w:color w:val="000000"/>
          <w:sz w:val="32"/>
          <w:szCs w:val="32"/>
          <w:highlight w:val="none"/>
        </w:rPr>
        <w:t>；</w:t>
      </w:r>
    </w:p>
    <w:p>
      <w:pPr>
        <w:pageBreakBefore w:val="0"/>
        <w:kinsoku/>
        <w:overflowPunct/>
        <w:topLinePunct w:val="0"/>
        <w:bidi w:val="0"/>
        <w:spacing w:line="560" w:lineRule="exact"/>
        <w:ind w:firstLine="640" w:firstLineChars="20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6.</w:t>
      </w:r>
      <w:r>
        <w:rPr>
          <w:rFonts w:hint="eastAsia" w:ascii="仿宋_GB2312" w:eastAsia="仿宋_GB2312"/>
          <w:sz w:val="32"/>
          <w:szCs w:val="32"/>
          <w:highlight w:val="none"/>
        </w:rPr>
        <w:t>存在法律、法规和规章明确规定不予资助的其他情形的</w:t>
      </w:r>
      <w:r>
        <w:rPr>
          <w:rFonts w:hint="eastAsia" w:ascii="仿宋_GB2312" w:eastAsia="仿宋_GB2312"/>
          <w:bCs/>
          <w:sz w:val="32"/>
          <w:szCs w:val="32"/>
          <w:highlight w:val="none"/>
        </w:rPr>
        <w:t>。</w:t>
      </w:r>
    </w:p>
    <w:p>
      <w:pPr>
        <w:pageBreakBefore w:val="0"/>
        <w:widowControl/>
        <w:kinsoku/>
        <w:overflowPunct/>
        <w:topLinePunct w:val="0"/>
        <w:bidi w:val="0"/>
        <w:spacing w:line="560" w:lineRule="exact"/>
        <w:ind w:left="420" w:leftChars="200" w:firstLine="320" w:firstLineChars="100"/>
        <w:jc w:val="both"/>
        <w:rPr>
          <w:rFonts w:ascii="黑体" w:hAnsi="宋体" w:eastAsia="黑体" w:cs="宋体"/>
          <w:b/>
          <w:bCs/>
          <w:sz w:val="32"/>
          <w:szCs w:val="32"/>
          <w:highlight w:val="none"/>
        </w:rPr>
      </w:pPr>
      <w:r>
        <w:rPr>
          <w:rFonts w:hint="eastAsia" w:ascii="黑体" w:hAnsi="宋体" w:eastAsia="黑体" w:cs="宋体"/>
          <w:b/>
          <w:bCs/>
          <w:sz w:val="32"/>
          <w:szCs w:val="32"/>
          <w:highlight w:val="none"/>
        </w:rPr>
        <w:t>三、申报材料及要求</w:t>
      </w:r>
    </w:p>
    <w:p>
      <w:pPr>
        <w:pageBreakBefore w:val="0"/>
        <w:widowControl/>
        <w:numPr>
          <w:ilvl w:val="0"/>
          <w:numId w:val="2"/>
        </w:numPr>
        <w:kinsoku/>
        <w:overflowPunct/>
        <w:topLinePunct w:val="0"/>
        <w:bidi w:val="0"/>
        <w:adjustRightInd w:val="0"/>
        <w:snapToGrid w:val="0"/>
        <w:spacing w:line="560" w:lineRule="exact"/>
        <w:jc w:val="both"/>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必须提交的申报材料：</w:t>
      </w:r>
    </w:p>
    <w:p>
      <w:pPr>
        <w:pageBreakBefore w:val="0"/>
        <w:widowControl/>
        <w:kinsoku/>
        <w:overflowPunct/>
        <w:topLinePunct w:val="0"/>
        <w:bidi w:val="0"/>
        <w:snapToGrid w:val="0"/>
        <w:spacing w:line="560" w:lineRule="exact"/>
        <w:ind w:firstLine="640" w:firstLineChars="20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1.深圳市工程建设</w:t>
      </w:r>
      <w:r>
        <w:rPr>
          <w:rFonts w:hint="eastAsia" w:ascii="仿宋_GB2312" w:eastAsia="仿宋_GB2312"/>
          <w:sz w:val="32"/>
          <w:szCs w:val="32"/>
          <w:highlight w:val="none"/>
        </w:rPr>
        <w:t>领域绿色创新发展</w:t>
      </w:r>
      <w:r>
        <w:rPr>
          <w:rFonts w:hint="eastAsia" w:ascii="仿宋_GB2312" w:eastAsia="仿宋_GB2312"/>
          <w:color w:val="000000"/>
          <w:sz w:val="32"/>
          <w:szCs w:val="32"/>
          <w:highlight w:val="none"/>
        </w:rPr>
        <w:t>专项资金扶持计划项目申报书（附录1）；</w:t>
      </w:r>
    </w:p>
    <w:p>
      <w:pPr>
        <w:pageBreakBefore w:val="0"/>
        <w:widowControl/>
        <w:kinsoku/>
        <w:overflowPunct/>
        <w:topLinePunct w:val="0"/>
        <w:bidi w:val="0"/>
        <w:snapToGrid w:val="0"/>
        <w:spacing w:line="560" w:lineRule="exact"/>
        <w:ind w:firstLine="640" w:firstLineChars="20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2.法人证书；</w:t>
      </w:r>
    </w:p>
    <w:p>
      <w:pPr>
        <w:pageBreakBefore w:val="0"/>
        <w:widowControl/>
        <w:kinsoku/>
        <w:overflowPunct/>
        <w:topLinePunct w:val="0"/>
        <w:bidi w:val="0"/>
        <w:snapToGrid w:val="0"/>
        <w:spacing w:line="560" w:lineRule="exact"/>
        <w:ind w:firstLine="640" w:firstLineChars="20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3.法定代表人证明书及身份证、法人授权委托书及授权委托人身份证；</w:t>
      </w:r>
    </w:p>
    <w:p>
      <w:pPr>
        <w:pageBreakBefore w:val="0"/>
        <w:widowControl/>
        <w:kinsoku/>
        <w:overflowPunct/>
        <w:topLinePunct w:val="0"/>
        <w:bidi w:val="0"/>
        <w:snapToGrid w:val="0"/>
        <w:spacing w:line="560" w:lineRule="exact"/>
        <w:ind w:firstLine="640" w:firstLineChars="20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4.投资项目备案、工程规划许可</w:t>
      </w:r>
      <w:r>
        <w:rPr>
          <w:rFonts w:hint="eastAsia" w:ascii="仿宋_GB2312" w:eastAsia="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建设工程竣工验收备案</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证明材料</w:t>
      </w:r>
      <w:r>
        <w:rPr>
          <w:rFonts w:hint="eastAsia" w:ascii="仿宋_GB2312" w:eastAsia="仿宋_GB2312"/>
          <w:color w:val="000000"/>
          <w:sz w:val="32"/>
          <w:szCs w:val="32"/>
          <w:highlight w:val="none"/>
          <w:lang w:eastAsia="zh-CN"/>
        </w:rPr>
        <w:t>复印件</w:t>
      </w:r>
      <w:r>
        <w:rPr>
          <w:rFonts w:hint="eastAsia" w:ascii="仿宋_GB2312" w:eastAsia="仿宋_GB2312"/>
          <w:color w:val="000000"/>
          <w:sz w:val="32"/>
          <w:szCs w:val="32"/>
          <w:highlight w:val="none"/>
        </w:rPr>
        <w:t>；</w:t>
      </w:r>
    </w:p>
    <w:p>
      <w:pPr>
        <w:pageBreakBefore w:val="0"/>
        <w:widowControl/>
        <w:kinsoku/>
        <w:overflowPunct/>
        <w:topLinePunct w:val="0"/>
        <w:bidi w:val="0"/>
        <w:snapToGrid w:val="0"/>
        <w:spacing w:line="560" w:lineRule="exact"/>
        <w:ind w:firstLine="640" w:firstLineChars="200"/>
        <w:jc w:val="both"/>
        <w:rPr>
          <w:rFonts w:ascii="仿宋_GB2312" w:hAnsi="仿宋_GB2312" w:eastAsia="仿宋_GB2312" w:cs="仿宋_GB2312"/>
          <w:sz w:val="32"/>
          <w:szCs w:val="32"/>
          <w:highlight w:val="none"/>
        </w:rPr>
      </w:pPr>
      <w:r>
        <w:rPr>
          <w:rFonts w:hint="eastAsia" w:ascii="仿宋_GB2312" w:eastAsia="仿宋_GB2312"/>
          <w:sz w:val="32"/>
          <w:szCs w:val="32"/>
          <w:highlight w:val="none"/>
        </w:rPr>
        <w:t>5.获得深圳市超低能耗、</w:t>
      </w:r>
      <w:bookmarkStart w:id="2" w:name="OLE_LINK2"/>
      <w:r>
        <w:rPr>
          <w:rFonts w:hint="default" w:ascii="仿宋_GB2312" w:eastAsia="仿宋_GB2312"/>
          <w:sz w:val="32"/>
          <w:szCs w:val="32"/>
          <w:highlight w:val="none"/>
          <w:lang w:val="en" w:eastAsia="zh-CN"/>
        </w:rPr>
        <w:t>近</w:t>
      </w:r>
      <w:r>
        <w:rPr>
          <w:rFonts w:hint="eastAsia" w:ascii="仿宋_GB2312" w:eastAsia="仿宋_GB2312"/>
          <w:sz w:val="32"/>
          <w:szCs w:val="32"/>
          <w:highlight w:val="none"/>
        </w:rPr>
        <w:t>零能耗或</w:t>
      </w:r>
      <w:r>
        <w:rPr>
          <w:rFonts w:hint="default" w:ascii="仿宋_GB2312" w:eastAsia="仿宋_GB2312"/>
          <w:sz w:val="32"/>
          <w:szCs w:val="32"/>
          <w:highlight w:val="none"/>
          <w:lang w:val="en" w:eastAsia="zh-CN"/>
        </w:rPr>
        <w:t>近</w:t>
      </w:r>
      <w:r>
        <w:rPr>
          <w:rFonts w:hint="eastAsia" w:ascii="仿宋_GB2312" w:eastAsia="仿宋_GB2312"/>
          <w:sz w:val="32"/>
          <w:szCs w:val="32"/>
          <w:highlight w:val="none"/>
        </w:rPr>
        <w:t>零碳建筑</w:t>
      </w:r>
      <w:bookmarkEnd w:id="2"/>
      <w:r>
        <w:rPr>
          <w:rFonts w:hint="eastAsia" w:ascii="仿宋_GB2312" w:eastAsia="仿宋_GB2312"/>
          <w:sz w:val="32"/>
          <w:szCs w:val="32"/>
          <w:highlight w:val="none"/>
        </w:rPr>
        <w:t>认定的证明材料</w:t>
      </w:r>
      <w:r>
        <w:rPr>
          <w:rFonts w:hint="eastAsia" w:ascii="仿宋_GB2312" w:hAnsi="仿宋_GB2312" w:eastAsia="仿宋_GB2312" w:cs="仿宋_GB2312"/>
          <w:sz w:val="32"/>
          <w:szCs w:val="32"/>
          <w:highlight w:val="none"/>
        </w:rPr>
        <w:t>，并提供全套项目资料；</w:t>
      </w:r>
    </w:p>
    <w:p>
      <w:pPr>
        <w:pageBreakBefore w:val="0"/>
        <w:widowControl/>
        <w:kinsoku/>
        <w:overflowPunct/>
        <w:topLinePunct w:val="0"/>
        <w:bidi w:val="0"/>
        <w:snapToGrid w:val="0"/>
        <w:spacing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6.公共建筑项目需提交分项能耗数据接入深圳市建筑能耗监测平台数据中心的证明文件；</w:t>
      </w:r>
    </w:p>
    <w:p>
      <w:pPr>
        <w:pageBreakBefore w:val="0"/>
        <w:widowControl/>
        <w:kinsoku/>
        <w:overflowPunct/>
        <w:topLinePunct w:val="0"/>
        <w:bidi w:val="0"/>
        <w:snapToGrid w:val="0"/>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项目的示范观摩方案，包含组织方案、项目观摩路线及沿途亮点内容介绍词；</w:t>
      </w:r>
    </w:p>
    <w:p>
      <w:pPr>
        <w:pageBreakBefore w:val="0"/>
        <w:widowControl/>
        <w:kinsoku/>
        <w:overflowPunct/>
        <w:topLinePunct w:val="0"/>
        <w:bidi w:val="0"/>
        <w:snapToGrid w:val="0"/>
        <w:spacing w:line="560" w:lineRule="exact"/>
        <w:ind w:firstLine="640" w:firstLineChars="200"/>
        <w:jc w:val="both"/>
        <w:rPr>
          <w:rFonts w:hint="eastAsia" w:ascii="仿宋_GB2312" w:eastAsia="仿宋_GB2312"/>
          <w:color w:val="000000"/>
          <w:sz w:val="32"/>
          <w:szCs w:val="32"/>
          <w:highlight w:val="none"/>
        </w:rPr>
      </w:pPr>
      <w:r>
        <w:rPr>
          <w:rFonts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rPr>
        <w:t>.</w:t>
      </w:r>
      <w:r>
        <w:rPr>
          <w:rFonts w:hint="eastAsia" w:ascii="仿宋_GB2312" w:eastAsia="仿宋_GB2312"/>
          <w:color w:val="000000"/>
          <w:sz w:val="32"/>
          <w:szCs w:val="32"/>
          <w:highlight w:val="none"/>
        </w:rPr>
        <w:t>项目专项财务审计报告（附录2，其中必须列明建安工程费用与设备总额）。</w:t>
      </w:r>
    </w:p>
    <w:p>
      <w:pPr>
        <w:pageBreakBefore w:val="0"/>
        <w:kinsoku/>
        <w:overflowPunct/>
        <w:topLinePunct w:val="0"/>
        <w:bidi w:val="0"/>
        <w:spacing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上述材料均需</w:t>
      </w:r>
      <w:r>
        <w:rPr>
          <w:rFonts w:hint="eastAsia" w:ascii="仿宋_GB2312" w:hAnsi="仿宋_GB2312" w:eastAsia="仿宋_GB2312" w:cs="仿宋_GB2312"/>
          <w:sz w:val="32"/>
          <w:szCs w:val="32"/>
          <w:highlight w:val="none"/>
          <w:lang w:eastAsia="zh-CN"/>
        </w:rPr>
        <w:t>加盖本单位公章，将扫描件</w:t>
      </w:r>
      <w:r>
        <w:rPr>
          <w:rFonts w:hint="eastAsia" w:ascii="仿宋_GB2312" w:hAnsi="仿宋_GB2312" w:eastAsia="仿宋_GB2312" w:cs="仿宋_GB2312"/>
          <w:sz w:val="32"/>
          <w:szCs w:val="32"/>
          <w:highlight w:val="none"/>
          <w:lang w:val="en-US" w:eastAsia="zh-CN"/>
        </w:rPr>
        <w:t>上传至</w:t>
      </w:r>
      <w:r>
        <w:rPr>
          <w:rFonts w:hint="eastAsia" w:ascii="仿宋_GB2312" w:eastAsia="仿宋_GB2312" w:cs="仿宋_GB2312"/>
          <w:sz w:val="32"/>
          <w:szCs w:val="32"/>
          <w:highlight w:val="none"/>
        </w:rPr>
        <w:t>广东政务服务网深圳站</w:t>
      </w:r>
      <w:r>
        <w:rPr>
          <w:rFonts w:hint="eastAsia" w:ascii="仿宋_GB2312" w:hAnsi="仿宋_GB2312" w:eastAsia="仿宋_GB2312" w:cs="仿宋_GB2312"/>
          <w:sz w:val="32"/>
          <w:szCs w:val="32"/>
          <w:highlight w:val="none"/>
          <w:lang w:eastAsia="zh-CN"/>
        </w:rPr>
        <w:t>，纸质件保留备查，需保密的材料请一并注明。</w:t>
      </w:r>
    </w:p>
    <w:p>
      <w:pPr>
        <w:pageBreakBefore w:val="0"/>
        <w:widowControl/>
        <w:numPr>
          <w:ilvl w:val="0"/>
          <w:numId w:val="2"/>
        </w:numPr>
        <w:kinsoku/>
        <w:overflowPunct/>
        <w:topLinePunct w:val="0"/>
        <w:bidi w:val="0"/>
        <w:adjustRightInd w:val="0"/>
        <w:snapToGrid w:val="0"/>
        <w:spacing w:line="560" w:lineRule="exact"/>
        <w:jc w:val="both"/>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结合项目实际情况选择提交的申报材料：</w:t>
      </w:r>
    </w:p>
    <w:p>
      <w:pPr>
        <w:pStyle w:val="31"/>
        <w:pageBreakBefore w:val="0"/>
        <w:kinsoku/>
        <w:overflowPunct/>
        <w:topLinePunct w:val="0"/>
        <w:bidi w:val="0"/>
        <w:spacing w:line="560" w:lineRule="exact"/>
        <w:ind w:firstLine="640"/>
        <w:jc w:val="both"/>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1.项目承办观摩交流活动证明材料；</w:t>
      </w:r>
    </w:p>
    <w:p>
      <w:pPr>
        <w:pStyle w:val="31"/>
        <w:pageBreakBefore w:val="0"/>
        <w:kinsoku/>
        <w:overflowPunct/>
        <w:topLinePunct w:val="0"/>
        <w:bidi w:val="0"/>
        <w:spacing w:line="560" w:lineRule="exact"/>
        <w:ind w:firstLine="640"/>
        <w:jc w:val="both"/>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2.项目获得荣誉证明材料（各类省级以上奖项及专利、工法等）；</w:t>
      </w:r>
    </w:p>
    <w:p>
      <w:pPr>
        <w:pStyle w:val="31"/>
        <w:pageBreakBefore w:val="0"/>
        <w:kinsoku/>
        <w:overflowPunct/>
        <w:topLinePunct w:val="0"/>
        <w:bidi w:val="0"/>
        <w:spacing w:line="560" w:lineRule="exact"/>
        <w:ind w:firstLine="640"/>
        <w:jc w:val="both"/>
        <w:rPr>
          <w:rFonts w:ascii="仿宋_GB2312" w:eastAsia="仿宋_GB2312"/>
          <w:color w:val="000000"/>
          <w:sz w:val="32"/>
          <w:szCs w:val="32"/>
          <w:highlight w:val="none"/>
        </w:rPr>
      </w:pPr>
      <w:r>
        <w:rPr>
          <w:rFonts w:hint="eastAsia" w:ascii="仿宋_GB2312" w:hAnsi="仿宋_GB2312" w:eastAsia="仿宋_GB2312" w:cs="仿宋_GB2312"/>
          <w:color w:val="000000"/>
          <w:sz w:val="32"/>
          <w:szCs w:val="32"/>
          <w:highlight w:val="none"/>
        </w:rPr>
        <w:t>3.其他按规定需要提供的</w:t>
      </w:r>
      <w:r>
        <w:rPr>
          <w:rFonts w:hint="eastAsia" w:ascii="仿宋_GB2312" w:eastAsia="仿宋_GB2312"/>
          <w:color w:val="000000"/>
          <w:sz w:val="32"/>
          <w:szCs w:val="32"/>
          <w:highlight w:val="none"/>
        </w:rPr>
        <w:t>材料。</w:t>
      </w:r>
    </w:p>
    <w:p>
      <w:pPr>
        <w:pageBreakBefore w:val="0"/>
        <w:kinsoku/>
        <w:overflowPunct/>
        <w:topLinePunct w:val="0"/>
        <w:bidi w:val="0"/>
        <w:spacing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上述材料均需</w:t>
      </w:r>
      <w:r>
        <w:rPr>
          <w:rFonts w:hint="eastAsia" w:ascii="仿宋_GB2312" w:hAnsi="仿宋_GB2312" w:eastAsia="仿宋_GB2312" w:cs="仿宋_GB2312"/>
          <w:sz w:val="32"/>
          <w:szCs w:val="32"/>
          <w:highlight w:val="none"/>
          <w:lang w:eastAsia="zh-CN"/>
        </w:rPr>
        <w:t>加盖本单位公章，将扫描件</w:t>
      </w:r>
      <w:r>
        <w:rPr>
          <w:rFonts w:hint="eastAsia" w:ascii="仿宋_GB2312" w:hAnsi="仿宋_GB2312" w:eastAsia="仿宋_GB2312" w:cs="仿宋_GB2312"/>
          <w:sz w:val="32"/>
          <w:szCs w:val="32"/>
          <w:highlight w:val="none"/>
          <w:lang w:val="en-US" w:eastAsia="zh-CN"/>
        </w:rPr>
        <w:t>上传至</w:t>
      </w:r>
      <w:r>
        <w:rPr>
          <w:rFonts w:hint="eastAsia" w:ascii="仿宋_GB2312" w:eastAsia="仿宋_GB2312" w:cs="仿宋_GB2312"/>
          <w:sz w:val="32"/>
          <w:szCs w:val="32"/>
          <w:highlight w:val="none"/>
        </w:rPr>
        <w:t>广东政务服务网深圳站</w:t>
      </w:r>
      <w:r>
        <w:rPr>
          <w:rFonts w:hint="eastAsia" w:ascii="仿宋_GB2312" w:hAnsi="仿宋_GB2312" w:eastAsia="仿宋_GB2312" w:cs="仿宋_GB2312"/>
          <w:sz w:val="32"/>
          <w:szCs w:val="32"/>
          <w:highlight w:val="none"/>
          <w:lang w:eastAsia="zh-CN"/>
        </w:rPr>
        <w:t>，纸质件保留备查，需保密的材料请一并注明。</w:t>
      </w:r>
    </w:p>
    <w:p>
      <w:pPr>
        <w:pageBreakBefore w:val="0"/>
        <w:widowControl/>
        <w:kinsoku/>
        <w:overflowPunct/>
        <w:topLinePunct w:val="0"/>
        <w:autoSpaceDN w:val="0"/>
        <w:bidi w:val="0"/>
        <w:snapToGrid w:val="0"/>
        <w:spacing w:line="560" w:lineRule="exact"/>
        <w:ind w:left="420" w:leftChars="200" w:firstLine="320" w:firstLineChars="100"/>
        <w:jc w:val="both"/>
        <w:rPr>
          <w:rFonts w:ascii="黑体" w:hAnsi="宋体" w:eastAsia="黑体" w:cs="宋体"/>
          <w:b/>
          <w:bCs/>
          <w:sz w:val="32"/>
          <w:szCs w:val="32"/>
          <w:highlight w:val="none"/>
        </w:rPr>
      </w:pPr>
      <w:r>
        <w:rPr>
          <w:rFonts w:hint="eastAsia" w:ascii="黑体" w:hAnsi="宋体" w:eastAsia="黑体" w:cs="宋体"/>
          <w:b/>
          <w:bCs/>
          <w:sz w:val="32"/>
          <w:szCs w:val="32"/>
          <w:highlight w:val="none"/>
        </w:rPr>
        <w:t>四、申报程序</w:t>
      </w:r>
    </w:p>
    <w:p>
      <w:pPr>
        <w:pStyle w:val="29"/>
        <w:keepNext w:val="0"/>
        <w:keepLines w:val="0"/>
        <w:pageBreakBefore w:val="0"/>
        <w:widowControl/>
        <w:kinsoku/>
        <w:overflowPunct/>
        <w:topLinePunct w:val="0"/>
        <w:bidi w:val="0"/>
        <w:snapToGrid w:val="0"/>
        <w:spacing w:line="560" w:lineRule="exact"/>
        <w:ind w:firstLine="640" w:firstLineChars="200"/>
        <w:jc w:val="both"/>
        <w:rPr>
          <w:rFonts w:ascii="仿宋_GB2312" w:eastAsia="仿宋_GB2312" w:cs="仿宋_GB2312"/>
          <w:color w:val="000000"/>
          <w:sz w:val="32"/>
          <w:szCs w:val="32"/>
          <w:highlight w:val="none"/>
        </w:rPr>
      </w:pPr>
      <w:r>
        <w:rPr>
          <w:rFonts w:hint="eastAsia" w:ascii="仿宋_GB2312" w:eastAsia="仿宋_GB2312" w:cs="仿宋_GB2312"/>
          <w:sz w:val="32"/>
          <w:szCs w:val="32"/>
          <w:highlight w:val="none"/>
        </w:rPr>
        <w:t>（一）申报单位通过广东政务服务网深圳站进行申报，由“首页&gt;深圳市&gt;深圳市住房和建设局”进入“工程建设领域绿色创新发展专项资金补助申请”</w:t>
      </w:r>
      <w:r>
        <w:rPr>
          <w:rFonts w:hint="eastAsia" w:ascii="仿宋_GB2312" w:eastAsia="仿宋_GB2312" w:cs="仿宋_GB2312"/>
          <w:sz w:val="32"/>
          <w:szCs w:val="32"/>
          <w:highlight w:val="none"/>
          <w:lang w:eastAsia="zh-CN"/>
        </w:rPr>
        <w:t>（域名：</w:t>
      </w:r>
      <w:r>
        <w:rPr>
          <w:rFonts w:hint="eastAsia" w:ascii="仿宋_GB2312" w:eastAsia="仿宋_GB2312" w:cs="仿宋_GB2312"/>
          <w:sz w:val="32"/>
          <w:szCs w:val="32"/>
          <w:highlight w:val="none"/>
        </w:rPr>
        <w:t>http://wsbs.sz.gov.cn/apply/ui/4403000000006939811031001000113001</w:t>
      </w:r>
      <w:r>
        <w:rPr>
          <w:rFonts w:hint="eastAsia" w:ascii="仿宋_GB2312" w:eastAsia="仿宋_GB2312" w:cs="仿宋_GB2312"/>
          <w:sz w:val="32"/>
          <w:szCs w:val="32"/>
          <w:highlight w:val="none"/>
          <w:lang w:eastAsia="zh-CN"/>
        </w:rPr>
        <w:t>）在线办理</w:t>
      </w:r>
      <w:r>
        <w:rPr>
          <w:rFonts w:hint="eastAsia" w:ascii="仿宋_GB2312" w:eastAsia="仿宋_GB2312" w:cs="仿宋_GB2312"/>
          <w:sz w:val="32"/>
          <w:szCs w:val="32"/>
          <w:highlight w:val="none"/>
        </w:rPr>
        <w:t>。</w:t>
      </w:r>
      <w:r>
        <w:rPr>
          <w:rFonts w:hint="eastAsia" w:ascii="仿宋_GB2312" w:eastAsia="仿宋_GB2312" w:cs="仿宋_GB2312"/>
          <w:color w:val="000000"/>
          <w:sz w:val="32"/>
          <w:szCs w:val="32"/>
          <w:highlight w:val="none"/>
        </w:rPr>
        <w:t>填报前请仔细阅读</w:t>
      </w:r>
      <w:r>
        <w:rPr>
          <w:rFonts w:hint="eastAsia" w:ascii="仿宋_GB2312" w:eastAsia="仿宋_GB2312" w:cs="仿宋_GB2312"/>
          <w:color w:val="000000"/>
          <w:sz w:val="32"/>
          <w:szCs w:val="32"/>
          <w:highlight w:val="none"/>
          <w:lang w:eastAsia="zh-CN"/>
        </w:rPr>
        <w:t>本</w:t>
      </w:r>
      <w:r>
        <w:rPr>
          <w:rFonts w:hint="eastAsia" w:ascii="仿宋_GB2312" w:eastAsia="仿宋_GB2312" w:cs="仿宋_GB2312"/>
          <w:color w:val="000000"/>
          <w:sz w:val="32"/>
          <w:szCs w:val="32"/>
          <w:highlight w:val="none"/>
        </w:rPr>
        <w:t>申报指南相关要求，若填报事项与</w:t>
      </w:r>
      <w:r>
        <w:rPr>
          <w:rFonts w:hint="eastAsia" w:ascii="仿宋_GB2312" w:eastAsia="仿宋_GB2312" w:cs="仿宋_GB2312"/>
          <w:color w:val="000000"/>
          <w:sz w:val="32"/>
          <w:szCs w:val="32"/>
          <w:highlight w:val="none"/>
          <w:lang w:eastAsia="zh-CN"/>
        </w:rPr>
        <w:t>本</w:t>
      </w:r>
      <w:r>
        <w:rPr>
          <w:rFonts w:hint="eastAsia" w:ascii="仿宋_GB2312" w:eastAsia="仿宋_GB2312" w:cs="仿宋_GB2312"/>
          <w:color w:val="000000"/>
          <w:sz w:val="32"/>
          <w:szCs w:val="32"/>
          <w:highlight w:val="none"/>
        </w:rPr>
        <w:t>申报指南要求不符，申请不予通过。</w:t>
      </w:r>
    </w:p>
    <w:p>
      <w:pPr>
        <w:keepNext w:val="0"/>
        <w:keepLines w:val="0"/>
        <w:pageBreakBefore w:val="0"/>
        <w:widowControl/>
        <w:kinsoku/>
        <w:overflowPunct/>
        <w:topLinePunct w:val="0"/>
        <w:bidi w:val="0"/>
        <w:spacing w:line="560" w:lineRule="exact"/>
        <w:ind w:firstLine="640" w:firstLineChars="200"/>
        <w:jc w:val="both"/>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（二）申报单位网上填写完成后，</w:t>
      </w:r>
      <w:r>
        <w:rPr>
          <w:rFonts w:hint="eastAsia" w:ascii="仿宋_GB2312" w:eastAsia="仿宋_GB2312" w:cs="仿宋_GB2312"/>
          <w:color w:val="auto"/>
          <w:sz w:val="32"/>
          <w:szCs w:val="32"/>
          <w:highlight w:val="none"/>
          <w:lang w:eastAsia="zh-CN"/>
        </w:rPr>
        <w:t>可</w:t>
      </w:r>
      <w:r>
        <w:rPr>
          <w:rFonts w:hint="eastAsia" w:ascii="仿宋_GB2312" w:eastAsia="仿宋_GB2312" w:cs="仿宋_GB2312"/>
          <w:color w:val="auto"/>
          <w:sz w:val="32"/>
          <w:szCs w:val="32"/>
          <w:highlight w:val="none"/>
        </w:rPr>
        <w:t>进入</w:t>
      </w:r>
      <w:r>
        <w:rPr>
          <w:rFonts w:hint="eastAsia" w:ascii="仿宋_GB2312" w:eastAsia="仿宋_GB2312" w:cs="仿宋_GB2312"/>
          <w:sz w:val="32"/>
          <w:szCs w:val="32"/>
          <w:highlight w:val="none"/>
        </w:rPr>
        <w:t>广东政务服务网深圳站</w:t>
      </w:r>
      <w:r>
        <w:rPr>
          <w:rFonts w:hint="eastAsia" w:ascii="仿宋_GB2312" w:eastAsia="仿宋_GB2312" w:cs="仿宋_GB2312"/>
          <w:sz w:val="32"/>
          <w:szCs w:val="32"/>
          <w:highlight w:val="none"/>
          <w:lang w:eastAsia="zh-CN"/>
        </w:rPr>
        <w:t>或</w:t>
      </w:r>
      <w:r>
        <w:rPr>
          <w:rFonts w:hint="eastAsia" w:ascii="仿宋_GB2312" w:eastAsia="仿宋_GB2312" w:cs="仿宋_GB2312"/>
          <w:sz w:val="32"/>
          <w:szCs w:val="32"/>
          <w:highlight w:val="none"/>
        </w:rPr>
        <w:t>深圳市财政专项资金统一管理平台（域名：https://cqt.szfb.sz.gov.cn）</w:t>
      </w:r>
      <w:r>
        <w:rPr>
          <w:rFonts w:hint="eastAsia" w:ascii="仿宋_GB2312" w:eastAsia="仿宋_GB2312" w:cs="仿宋_GB2312"/>
          <w:color w:val="auto"/>
          <w:sz w:val="32"/>
          <w:szCs w:val="32"/>
          <w:highlight w:val="none"/>
        </w:rPr>
        <w:t>查看受理进度。</w:t>
      </w:r>
    </w:p>
    <w:p>
      <w:pPr>
        <w:pageBreakBefore w:val="0"/>
        <w:kinsoku/>
        <w:overflowPunct/>
        <w:topLinePunct w:val="0"/>
        <w:bidi w:val="0"/>
        <w:spacing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000000"/>
          <w:sz w:val="32"/>
          <w:szCs w:val="32"/>
          <w:highlight w:val="none"/>
        </w:rPr>
        <w:t>（三）深圳市住房和建设局负责对申报材料进行</w:t>
      </w:r>
      <w:r>
        <w:rPr>
          <w:rFonts w:hint="eastAsia" w:ascii="仿宋_GB2312" w:eastAsia="仿宋_GB2312" w:cs="仿宋_GB2312"/>
          <w:color w:val="auto"/>
          <w:sz w:val="32"/>
          <w:szCs w:val="32"/>
          <w:highlight w:val="none"/>
        </w:rPr>
        <w:t>预审</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000000"/>
          <w:sz w:val="32"/>
          <w:szCs w:val="32"/>
          <w:highlight w:val="none"/>
        </w:rPr>
        <w:t>形式审查</w:t>
      </w:r>
      <w:r>
        <w:rPr>
          <w:rFonts w:hint="eastAsia" w:ascii="仿宋_GB2312" w:eastAsia="仿宋_GB2312" w:cs="仿宋_GB2312"/>
          <w:color w:val="000000"/>
          <w:sz w:val="32"/>
          <w:szCs w:val="32"/>
          <w:highlight w:val="none"/>
          <w:lang w:eastAsia="zh-CN"/>
        </w:rPr>
        <w:t>、专家评审、项目核查。审核过程中如发生申报附件退回，申报单位可登录</w:t>
      </w:r>
      <w:r>
        <w:rPr>
          <w:rFonts w:hint="eastAsia" w:ascii="仿宋_GB2312" w:eastAsia="仿宋_GB2312" w:cs="仿宋_GB2312"/>
          <w:sz w:val="32"/>
          <w:szCs w:val="32"/>
          <w:highlight w:val="none"/>
        </w:rPr>
        <w:t>深圳市财政专项资金统一管理平台（域名：https://cqt.szfb.sz.gov.cn）</w:t>
      </w:r>
      <w:r>
        <w:rPr>
          <w:rFonts w:hint="eastAsia" w:ascii="仿宋_GB2312" w:eastAsia="仿宋_GB2312" w:cs="仿宋_GB2312"/>
          <w:sz w:val="32"/>
          <w:szCs w:val="32"/>
          <w:highlight w:val="none"/>
          <w:lang w:eastAsia="zh-CN"/>
        </w:rPr>
        <w:t>根据评审意见</w:t>
      </w:r>
      <w:r>
        <w:rPr>
          <w:rFonts w:hint="eastAsia" w:ascii="仿宋_GB2312" w:eastAsia="仿宋_GB2312" w:cs="仿宋_GB2312"/>
          <w:color w:val="auto"/>
          <w:sz w:val="32"/>
          <w:szCs w:val="32"/>
          <w:highlight w:val="none"/>
        </w:rPr>
        <w:t>修改</w:t>
      </w:r>
      <w:r>
        <w:rPr>
          <w:rFonts w:hint="eastAsia" w:ascii="仿宋_GB2312" w:eastAsia="仿宋_GB2312" w:cs="仿宋_GB2312"/>
          <w:color w:val="auto"/>
          <w:sz w:val="32"/>
          <w:szCs w:val="32"/>
          <w:highlight w:val="none"/>
          <w:lang w:eastAsia="zh-CN"/>
        </w:rPr>
        <w:t>并重新提交</w:t>
      </w:r>
      <w:r>
        <w:rPr>
          <w:rFonts w:hint="eastAsia" w:ascii="仿宋_GB2312" w:eastAsia="仿宋_GB2312" w:cs="仿宋_GB2312"/>
          <w:color w:val="auto"/>
          <w:sz w:val="32"/>
          <w:szCs w:val="32"/>
          <w:highlight w:val="none"/>
        </w:rPr>
        <w:t>。</w:t>
      </w:r>
      <w:r>
        <w:rPr>
          <w:rFonts w:hint="eastAsia" w:ascii="仿宋_GB2312" w:eastAsia="仿宋_GB2312" w:cs="仿宋_GB2312"/>
          <w:color w:val="000000"/>
          <w:sz w:val="32"/>
          <w:szCs w:val="32"/>
          <w:highlight w:val="none"/>
          <w:lang w:eastAsia="zh-CN"/>
        </w:rPr>
        <w:t>专家评审期间，请申报单位根据深圳市住房和建设局后续通知，将申报材料纸质件提交至评审会现场</w:t>
      </w:r>
      <w:r>
        <w:rPr>
          <w:rFonts w:hint="eastAsia" w:ascii="仿宋_GB2312" w:hAnsi="仿宋_GB2312" w:eastAsia="仿宋_GB2312" w:cs="仿宋_GB2312"/>
          <w:color w:val="auto"/>
          <w:sz w:val="32"/>
          <w:szCs w:val="32"/>
          <w:highlight w:val="none"/>
          <w:shd w:val="clear" w:color="auto" w:fill="auto"/>
          <w:lang w:val="en-US" w:eastAsia="zh-CN"/>
        </w:rPr>
        <w:t>。</w:t>
      </w:r>
    </w:p>
    <w:p>
      <w:pPr>
        <w:pStyle w:val="29"/>
        <w:pageBreakBefore w:val="0"/>
        <w:numPr>
          <w:ilvl w:val="0"/>
          <w:numId w:val="3"/>
        </w:numPr>
        <w:kinsoku/>
        <w:overflowPunct/>
        <w:topLinePunct w:val="0"/>
        <w:bidi w:val="0"/>
        <w:snapToGrid w:val="0"/>
        <w:spacing w:line="560" w:lineRule="exact"/>
        <w:ind w:firstLine="640" w:firstLineChars="200"/>
        <w:jc w:val="both"/>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深圳市住房和建设局根据评审、核查结果提出年度拟扶持项目名单，经征求相关行政职能部门意见无异议的，向社会公示，公示时间不少于5个工作日。</w:t>
      </w:r>
    </w:p>
    <w:p>
      <w:pPr>
        <w:pStyle w:val="29"/>
        <w:pageBreakBefore w:val="0"/>
        <w:numPr>
          <w:ilvl w:val="0"/>
          <w:numId w:val="3"/>
        </w:numPr>
        <w:kinsoku/>
        <w:overflowPunct/>
        <w:topLinePunct w:val="0"/>
        <w:bidi w:val="0"/>
        <w:snapToGrid w:val="0"/>
        <w:spacing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000000"/>
          <w:sz w:val="32"/>
          <w:szCs w:val="32"/>
          <w:highlight w:val="none"/>
        </w:rPr>
        <w:t>经公示无异议和经核查异议不成立的项目，由深圳市住房和建设局将其纳入拟资助项目库，根据年度规模控制择优列入年度计划，报市财政部门审核</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rPr>
        <w:t>项目最终资助金额以市财政部门批复为准。</w:t>
      </w:r>
    </w:p>
    <w:p>
      <w:pPr>
        <w:pageBreakBefore w:val="0"/>
        <w:widowControl/>
        <w:kinsoku/>
        <w:overflowPunct/>
        <w:topLinePunct w:val="0"/>
        <w:bidi w:val="0"/>
        <w:snapToGrid w:val="0"/>
        <w:spacing w:line="560" w:lineRule="exact"/>
        <w:ind w:left="420" w:leftChars="200" w:firstLine="320" w:firstLineChars="100"/>
        <w:jc w:val="both"/>
        <w:rPr>
          <w:rFonts w:ascii="黑体" w:hAnsi="宋体" w:eastAsia="黑体" w:cs="宋体"/>
          <w:b/>
          <w:bCs/>
          <w:color w:val="000000"/>
          <w:sz w:val="32"/>
          <w:szCs w:val="32"/>
          <w:highlight w:val="none"/>
        </w:rPr>
      </w:pPr>
      <w:r>
        <w:rPr>
          <w:rFonts w:hint="eastAsia" w:ascii="黑体" w:hAnsi="宋体" w:eastAsia="黑体" w:cs="宋体"/>
          <w:b/>
          <w:bCs/>
          <w:color w:val="000000"/>
          <w:sz w:val="32"/>
          <w:szCs w:val="32"/>
          <w:highlight w:val="none"/>
        </w:rPr>
        <w:t>五、申报时间和电话</w:t>
      </w:r>
    </w:p>
    <w:p>
      <w:pPr>
        <w:pStyle w:val="29"/>
        <w:pageBreakBefore w:val="0"/>
        <w:kinsoku/>
        <w:overflowPunct/>
        <w:topLinePunct w:val="0"/>
        <w:bidi w:val="0"/>
        <w:snapToGrid w:val="0"/>
        <w:spacing w:line="560" w:lineRule="exact"/>
        <w:ind w:firstLine="640" w:firstLineChars="200"/>
        <w:jc w:val="both"/>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（一）申报时间</w:t>
      </w:r>
      <w:r>
        <w:rPr>
          <w:rFonts w:hint="eastAsia" w:ascii="仿宋_GB2312" w:eastAsia="仿宋_GB2312" w:cs="仿宋_GB2312"/>
          <w:color w:val="000000"/>
          <w:sz w:val="32"/>
          <w:szCs w:val="32"/>
          <w:highlight w:val="none"/>
          <w:lang w:eastAsia="zh-CN"/>
        </w:rPr>
        <w:t>：20</w:t>
      </w:r>
      <w:r>
        <w:rPr>
          <w:rFonts w:hint="eastAsia" w:ascii="仿宋_GB2312" w:eastAsia="仿宋_GB2312" w:cs="仿宋_GB2312"/>
          <w:color w:val="000000"/>
          <w:sz w:val="32"/>
          <w:szCs w:val="32"/>
          <w:highlight w:val="none"/>
          <w:lang w:val="en-US" w:eastAsia="zh-CN"/>
        </w:rPr>
        <w:t>25</w:t>
      </w:r>
      <w:r>
        <w:rPr>
          <w:rFonts w:hint="eastAsia" w:ascii="仿宋_GB2312" w:eastAsia="仿宋_GB2312" w:cs="仿宋_GB2312"/>
          <w:color w:val="000000"/>
          <w:sz w:val="32"/>
          <w:szCs w:val="32"/>
          <w:highlight w:val="none"/>
          <w:lang w:eastAsia="zh-CN"/>
        </w:rPr>
        <w:t>年</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lang w:eastAsia="zh-CN"/>
        </w:rPr>
        <w:t>月</w:t>
      </w:r>
      <w:r>
        <w:rPr>
          <w:rFonts w:hint="eastAsia" w:ascii="仿宋_GB2312" w:eastAsia="仿宋_GB2312" w:cs="仿宋_GB2312"/>
          <w:color w:val="000000"/>
          <w:sz w:val="32"/>
          <w:szCs w:val="32"/>
          <w:highlight w:val="none"/>
          <w:lang w:val="en-US" w:eastAsia="zh-CN"/>
        </w:rPr>
        <w:t>21</w:t>
      </w:r>
      <w:r>
        <w:rPr>
          <w:rFonts w:hint="eastAsia" w:ascii="仿宋_GB2312" w:eastAsia="仿宋_GB2312" w:cs="仿宋_GB2312"/>
          <w:color w:val="000000"/>
          <w:sz w:val="32"/>
          <w:szCs w:val="32"/>
          <w:highlight w:val="none"/>
          <w:lang w:eastAsia="zh-CN"/>
        </w:rPr>
        <w:t>日</w:t>
      </w:r>
      <w:r>
        <w:rPr>
          <w:rFonts w:hint="eastAsia" w:ascii="仿宋_GB2312" w:eastAsia="仿宋_GB2312" w:cs="仿宋_GB2312"/>
          <w:color w:val="000000"/>
          <w:sz w:val="32"/>
          <w:szCs w:val="32"/>
          <w:highlight w:val="none"/>
          <w:lang w:val="en-US" w:eastAsia="zh-CN"/>
        </w:rPr>
        <w:t>9</w:t>
      </w:r>
      <w:r>
        <w:rPr>
          <w:rFonts w:hint="eastAsia" w:ascii="仿宋_GB2312" w:eastAsia="仿宋_GB2312" w:cs="仿宋_GB2312"/>
          <w:color w:val="000000"/>
          <w:sz w:val="32"/>
          <w:szCs w:val="32"/>
          <w:highlight w:val="none"/>
          <w:lang w:eastAsia="zh-CN"/>
        </w:rPr>
        <w:t>:00至20</w:t>
      </w:r>
      <w:r>
        <w:rPr>
          <w:rFonts w:hint="eastAsia" w:ascii="仿宋_GB2312" w:eastAsia="仿宋_GB2312" w:cs="仿宋_GB2312"/>
          <w:color w:val="000000"/>
          <w:sz w:val="32"/>
          <w:szCs w:val="32"/>
          <w:highlight w:val="none"/>
          <w:lang w:val="en-US" w:eastAsia="zh-CN"/>
        </w:rPr>
        <w:t>25</w:t>
      </w:r>
      <w:r>
        <w:rPr>
          <w:rFonts w:hint="eastAsia" w:ascii="仿宋_GB2312" w:eastAsia="仿宋_GB2312" w:cs="仿宋_GB2312"/>
          <w:color w:val="000000"/>
          <w:sz w:val="32"/>
          <w:szCs w:val="32"/>
          <w:highlight w:val="none"/>
          <w:lang w:eastAsia="zh-CN"/>
        </w:rPr>
        <w:t>年</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lang w:eastAsia="zh-CN"/>
        </w:rPr>
        <w:t>月</w:t>
      </w:r>
      <w:r>
        <w:rPr>
          <w:rFonts w:hint="eastAsia" w:ascii="仿宋_GB2312" w:eastAsia="仿宋_GB2312" w:cs="仿宋_GB2312"/>
          <w:color w:val="000000"/>
          <w:sz w:val="32"/>
          <w:szCs w:val="32"/>
          <w:highlight w:val="none"/>
          <w:lang w:val="en-US" w:eastAsia="zh-CN"/>
        </w:rPr>
        <w:t>27</w:t>
      </w:r>
      <w:r>
        <w:rPr>
          <w:rFonts w:hint="eastAsia" w:ascii="仿宋_GB2312" w:eastAsia="仿宋_GB2312" w:cs="仿宋_GB2312"/>
          <w:color w:val="000000"/>
          <w:sz w:val="32"/>
          <w:szCs w:val="32"/>
          <w:highlight w:val="none"/>
          <w:lang w:eastAsia="zh-CN"/>
        </w:rPr>
        <w:t>日</w:t>
      </w:r>
      <w:r>
        <w:rPr>
          <w:rFonts w:hint="eastAsia" w:ascii="仿宋_GB2312" w:eastAsia="仿宋_GB2312" w:cs="仿宋_GB2312"/>
          <w:color w:val="000000"/>
          <w:sz w:val="32"/>
          <w:szCs w:val="32"/>
          <w:highlight w:val="none"/>
          <w:lang w:val="en-US" w:eastAsia="zh-CN"/>
        </w:rPr>
        <w:t>17</w:t>
      </w:r>
      <w:r>
        <w:rPr>
          <w:rFonts w:hint="eastAsia" w:ascii="仿宋_GB2312" w:eastAsia="仿宋_GB2312" w:cs="仿宋_GB2312"/>
          <w:color w:val="000000"/>
          <w:sz w:val="32"/>
          <w:szCs w:val="32"/>
          <w:highlight w:val="none"/>
          <w:lang w:eastAsia="zh-CN"/>
        </w:rPr>
        <w:t>:00。</w:t>
      </w:r>
    </w:p>
    <w:p>
      <w:pPr>
        <w:pStyle w:val="29"/>
        <w:pageBreakBefore w:val="0"/>
        <w:kinsoku/>
        <w:overflowPunct/>
        <w:topLinePunct w:val="0"/>
        <w:bidi w:val="0"/>
        <w:snapToGrid w:val="0"/>
        <w:spacing w:line="560" w:lineRule="exact"/>
        <w:ind w:firstLine="640" w:firstLineChars="200"/>
        <w:jc w:val="both"/>
        <w:rPr>
          <w:rFonts w:ascii="仿宋_GB2312" w:eastAsia="仿宋_GB2312" w:cs="仿宋_GB2312"/>
          <w:sz w:val="32"/>
          <w:szCs w:val="32"/>
          <w:highlight w:val="none"/>
        </w:rPr>
      </w:pPr>
      <w:r>
        <w:rPr>
          <w:rFonts w:hint="eastAsia" w:ascii="仿宋_GB2312" w:eastAsia="仿宋_GB2312" w:cs="仿宋_GB2312"/>
          <w:color w:val="000000"/>
          <w:sz w:val="32"/>
          <w:szCs w:val="32"/>
          <w:highlight w:val="none"/>
        </w:rPr>
        <w:t>（二）咨询电话：0755-8378</w:t>
      </w:r>
      <w:r>
        <w:rPr>
          <w:rFonts w:hint="eastAsia" w:ascii="仿宋_GB2312" w:eastAsia="仿宋_GB2312" w:cs="仿宋_GB2312"/>
          <w:color w:val="000000"/>
          <w:sz w:val="32"/>
          <w:szCs w:val="32"/>
          <w:highlight w:val="none"/>
          <w:lang w:val="en-US" w:eastAsia="zh-CN"/>
        </w:rPr>
        <w:t>9895</w:t>
      </w:r>
      <w:r>
        <w:rPr>
          <w:rFonts w:hint="eastAsia" w:ascii="仿宋_GB2312" w:eastAsia="仿宋_GB2312" w:cs="仿宋_GB2312"/>
          <w:color w:val="000000"/>
          <w:sz w:val="32"/>
          <w:szCs w:val="32"/>
          <w:highlight w:val="none"/>
        </w:rPr>
        <w:t>（市住房建设局</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val="en-US" w:eastAsia="zh-CN"/>
        </w:rPr>
        <w:t>袁</w:t>
      </w:r>
      <w:r>
        <w:rPr>
          <w:rFonts w:hint="eastAsia" w:ascii="仿宋_GB2312" w:eastAsia="仿宋_GB2312" w:cs="仿宋_GB2312"/>
          <w:sz w:val="32"/>
          <w:szCs w:val="32"/>
          <w:highlight w:val="none"/>
        </w:rPr>
        <w:t>工）</w:t>
      </w:r>
    </w:p>
    <w:p>
      <w:pPr>
        <w:pageBreakBefore w:val="0"/>
        <w:kinsoku/>
        <w:overflowPunct/>
        <w:topLinePunct w:val="0"/>
        <w:bidi w:val="0"/>
        <w:snapToGrid w:val="0"/>
        <w:spacing w:line="560" w:lineRule="exact"/>
        <w:ind w:firstLine="640" w:firstLineChars="200"/>
        <w:jc w:val="both"/>
        <w:rPr>
          <w:rFonts w:ascii="仿宋_GB2312" w:eastAsia="仿宋_GB2312"/>
          <w:sz w:val="32"/>
          <w:szCs w:val="32"/>
          <w:highlight w:val="none"/>
        </w:rPr>
      </w:pPr>
    </w:p>
    <w:p>
      <w:pPr>
        <w:keepNext w:val="0"/>
        <w:keepLines w:val="0"/>
        <w:pageBreakBefore w:val="0"/>
        <w:widowControl/>
        <w:kinsoku/>
        <w:overflowPunct/>
        <w:topLinePunct w:val="0"/>
        <w:bidi w:val="0"/>
        <w:snapToGrid w:val="0"/>
        <w:spacing w:line="560" w:lineRule="exact"/>
        <w:ind w:left="1476" w:leftChars="304" w:hanging="838" w:hangingChars="262"/>
        <w:jc w:val="both"/>
        <w:rPr>
          <w:rFonts w:ascii="仿宋_GB2312" w:hAnsi="仿宋_GB2312" w:eastAsia="仿宋_GB2312" w:cs="仿宋_GB2312"/>
          <w:sz w:val="32"/>
          <w:szCs w:val="32"/>
          <w:highlight w:val="none"/>
        </w:rPr>
      </w:pPr>
      <w:r>
        <w:rPr>
          <w:rFonts w:hint="eastAsia" w:ascii="仿宋_GB2312" w:eastAsia="仿宋_GB2312"/>
          <w:sz w:val="32"/>
          <w:szCs w:val="32"/>
          <w:highlight w:val="none"/>
        </w:rPr>
        <w:t>附录：</w:t>
      </w:r>
      <w:r>
        <w:rPr>
          <w:rFonts w:hint="eastAsia" w:ascii="仿宋_GB2312" w:hAnsi="仿宋_GB2312" w:eastAsia="仿宋_GB2312" w:cs="仿宋_GB2312"/>
          <w:sz w:val="32"/>
          <w:szCs w:val="32"/>
          <w:highlight w:val="none"/>
        </w:rPr>
        <w:t>1.深圳市工程建设领域</w:t>
      </w:r>
      <w:r>
        <w:rPr>
          <w:rFonts w:hint="eastAsia" w:ascii="仿宋_GB2312" w:hAnsi="仿宋_GB2312" w:eastAsia="仿宋_GB2312" w:cs="仿宋_GB2312"/>
          <w:sz w:val="32"/>
          <w:szCs w:val="32"/>
          <w:highlight w:val="none"/>
          <w:lang w:eastAsia="zh-CN"/>
        </w:rPr>
        <w:t>绿色创新发展</w:t>
      </w:r>
      <w:r>
        <w:rPr>
          <w:rFonts w:hint="eastAsia" w:ascii="仿宋_GB2312" w:hAnsi="仿宋_GB2312" w:eastAsia="仿宋_GB2312" w:cs="仿宋_GB2312"/>
          <w:sz w:val="32"/>
          <w:szCs w:val="32"/>
          <w:highlight w:val="none"/>
        </w:rPr>
        <w:t>专项资金扶持计划项目申报书</w:t>
      </w:r>
    </w:p>
    <w:p>
      <w:pPr>
        <w:pageBreakBefore w:val="0"/>
        <w:widowControl/>
        <w:tabs>
          <w:tab w:val="center" w:pos="3660"/>
          <w:tab w:val="left" w:pos="5010"/>
          <w:tab w:val="left" w:pos="8460"/>
        </w:tabs>
        <w:kinsoku/>
        <w:overflowPunct/>
        <w:topLinePunct w:val="0"/>
        <w:bidi w:val="0"/>
        <w:snapToGrid w:val="0"/>
        <w:spacing w:line="560" w:lineRule="exact"/>
        <w:ind w:firstLine="1600" w:firstLineChars="500"/>
        <w:jc w:val="both"/>
        <w:rPr>
          <w:rFonts w:ascii="仿宋_GB2312" w:eastAsia="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.项目投资专项审计报告编制大纲</w:t>
      </w:r>
    </w:p>
    <w:p>
      <w:pPr>
        <w:pageBreakBefore w:val="0"/>
        <w:kinsoku/>
        <w:overflowPunct/>
        <w:topLinePunct w:val="0"/>
        <w:bidi w:val="0"/>
        <w:spacing w:line="560" w:lineRule="exact"/>
        <w:rPr>
          <w:highlight w:val="none"/>
        </w:rPr>
      </w:pPr>
    </w:p>
    <w:p>
      <w:pPr>
        <w:pageBreakBefore w:val="0"/>
        <w:widowControl/>
        <w:kinsoku/>
        <w:overflowPunct/>
        <w:topLinePunct w:val="0"/>
        <w:bidi w:val="0"/>
        <w:spacing w:line="560" w:lineRule="exact"/>
        <w:jc w:val="left"/>
        <w:rPr>
          <w:rFonts w:eastAsia="仿宋_GB2312"/>
          <w:sz w:val="30"/>
          <w:highlight w:val="none"/>
        </w:rPr>
      </w:pPr>
      <w:r>
        <w:rPr>
          <w:rFonts w:eastAsia="仿宋_GB2312"/>
          <w:sz w:val="30"/>
          <w:highlight w:val="none"/>
        </w:rPr>
        <w:br w:type="page"/>
      </w:r>
    </w:p>
    <w:p>
      <w:pPr>
        <w:pStyle w:val="29"/>
        <w:pageBreakBefore w:val="0"/>
        <w:widowControl/>
        <w:kinsoku/>
        <w:overflowPunct/>
        <w:topLinePunct w:val="0"/>
        <w:bidi w:val="0"/>
        <w:snapToGrid w:val="0"/>
        <w:spacing w:line="560" w:lineRule="exact"/>
        <w:ind w:right="0"/>
        <w:jc w:val="left"/>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附录1</w:t>
      </w:r>
    </w:p>
    <w:p>
      <w:pPr>
        <w:pageBreakBefore w:val="0"/>
        <w:tabs>
          <w:tab w:val="center" w:pos="3660"/>
          <w:tab w:val="left" w:pos="5010"/>
          <w:tab w:val="left" w:pos="8460"/>
        </w:tabs>
        <w:kinsoku/>
        <w:wordWrap w:val="0"/>
        <w:overflowPunct/>
        <w:topLinePunct w:val="0"/>
        <w:bidi w:val="0"/>
        <w:spacing w:line="560" w:lineRule="exact"/>
        <w:ind w:right="99"/>
        <w:jc w:val="right"/>
        <w:rPr>
          <w:rFonts w:eastAsia="仿宋_GB2312"/>
          <w:sz w:val="30"/>
          <w:highlight w:val="none"/>
        </w:rPr>
      </w:pPr>
      <w:r>
        <w:rPr>
          <w:rFonts w:hint="eastAsia" w:eastAsia="仿宋_GB2312"/>
          <w:sz w:val="30"/>
          <w:highlight w:val="none"/>
        </w:rPr>
        <w:t xml:space="preserve">项目编号：          </w:t>
      </w:r>
    </w:p>
    <w:p>
      <w:pPr>
        <w:pageBreakBefore w:val="0"/>
        <w:tabs>
          <w:tab w:val="center" w:pos="3660"/>
          <w:tab w:val="left" w:pos="5010"/>
          <w:tab w:val="left" w:pos="8460"/>
        </w:tabs>
        <w:kinsoku/>
        <w:overflowPunct/>
        <w:topLinePunct w:val="0"/>
        <w:bidi w:val="0"/>
        <w:spacing w:line="560" w:lineRule="exact"/>
        <w:ind w:right="99"/>
        <w:jc w:val="center"/>
        <w:rPr>
          <w:b/>
          <w:sz w:val="28"/>
          <w:highlight w:val="none"/>
        </w:rPr>
      </w:pPr>
      <w:r>
        <w:rPr>
          <w:rFonts w:hint="eastAsia"/>
          <w:b/>
          <w:sz w:val="28"/>
          <w:highlight w:val="none"/>
        </w:rPr>
        <w:t xml:space="preserve">  </w:t>
      </w: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jc w:val="center"/>
        <w:rPr>
          <w:rFonts w:ascii="黑体" w:eastAsia="黑体"/>
          <w:b/>
          <w:sz w:val="48"/>
          <w:szCs w:val="48"/>
          <w:highlight w:val="none"/>
        </w:rPr>
      </w:pPr>
      <w:r>
        <w:rPr>
          <w:rFonts w:hint="eastAsia" w:ascii="黑体" w:eastAsia="黑体"/>
          <w:b/>
          <w:sz w:val="48"/>
          <w:szCs w:val="48"/>
          <w:highlight w:val="none"/>
        </w:rPr>
        <w:t xml:space="preserve"> 深圳市工程建设领域绿色创新发展专项资金扶持计划项目申报书</w:t>
      </w:r>
    </w:p>
    <w:p>
      <w:pPr>
        <w:pageBreakBefore w:val="0"/>
        <w:kinsoku/>
        <w:overflowPunct/>
        <w:topLinePunct w:val="0"/>
        <w:bidi w:val="0"/>
        <w:snapToGrid w:val="0"/>
        <w:spacing w:line="560" w:lineRule="exact"/>
        <w:jc w:val="center"/>
        <w:rPr>
          <w:rFonts w:ascii="楷体" w:hAnsi="楷体" w:eastAsia="楷体" w:cs="楷体"/>
          <w:b/>
          <w:sz w:val="48"/>
          <w:szCs w:val="48"/>
          <w:highlight w:val="none"/>
        </w:rPr>
      </w:pPr>
      <w:r>
        <w:rPr>
          <w:rFonts w:hint="eastAsia" w:ascii="楷体" w:hAnsi="楷体" w:eastAsia="楷体" w:cs="楷体"/>
          <w:b/>
          <w:sz w:val="48"/>
          <w:szCs w:val="48"/>
          <w:highlight w:val="none"/>
        </w:rPr>
        <w:t>（超低能耗建筑示范项目）</w:t>
      </w: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tabs>
          <w:tab w:val="left" w:pos="6580"/>
          <w:tab w:val="left" w:pos="6780"/>
        </w:tabs>
        <w:kinsoku/>
        <w:overflowPunct/>
        <w:topLinePunct w:val="0"/>
        <w:bidi w:val="0"/>
        <w:snapToGrid w:val="0"/>
        <w:spacing w:line="560" w:lineRule="exact"/>
        <w:ind w:firstLine="640" w:firstLineChars="200"/>
        <w:rPr>
          <w:rFonts w:ascii="仿宋_GB2312" w:eastAsia="黑体"/>
          <w:b/>
          <w:sz w:val="32"/>
          <w:highlight w:val="none"/>
          <w:u w:val="single"/>
        </w:rPr>
      </w:pPr>
      <w:r>
        <w:rPr>
          <w:rFonts w:hint="eastAsia" w:ascii="仿宋_GB2312" w:eastAsia="黑体"/>
          <w:b/>
          <w:kern w:val="16"/>
          <w:sz w:val="32"/>
          <w:highlight w:val="none"/>
        </w:rPr>
        <w:t>项 目 名 称</w:t>
      </w:r>
      <w:r>
        <w:rPr>
          <w:rFonts w:hint="eastAsia" w:ascii="仿宋_GB2312" w:eastAsia="黑体"/>
          <w:b/>
          <w:sz w:val="32"/>
          <w:highlight w:val="none"/>
          <w:u w:val="single"/>
        </w:rPr>
        <w:t xml:space="preserve">                               </w:t>
      </w:r>
    </w:p>
    <w:p>
      <w:pPr>
        <w:pageBreakBefore w:val="0"/>
        <w:tabs>
          <w:tab w:val="left" w:pos="6580"/>
          <w:tab w:val="left" w:pos="6780"/>
        </w:tabs>
        <w:kinsoku/>
        <w:overflowPunct/>
        <w:topLinePunct w:val="0"/>
        <w:bidi w:val="0"/>
        <w:snapToGrid w:val="0"/>
        <w:spacing w:line="560" w:lineRule="exact"/>
        <w:ind w:firstLine="640" w:firstLineChars="200"/>
        <w:jc w:val="left"/>
        <w:rPr>
          <w:rFonts w:ascii="仿宋_GB2312" w:eastAsia="黑体"/>
          <w:sz w:val="32"/>
          <w:highlight w:val="none"/>
        </w:rPr>
      </w:pPr>
      <w:r>
        <w:rPr>
          <w:rFonts w:hint="eastAsia" w:ascii="仿宋_GB2312" w:eastAsia="黑体"/>
          <w:b/>
          <w:kern w:val="16"/>
          <w:sz w:val="32"/>
          <w:highlight w:val="none"/>
        </w:rPr>
        <w:t>申 报 单 位</w:t>
      </w:r>
      <w:r>
        <w:rPr>
          <w:rFonts w:hint="eastAsia" w:ascii="仿宋" w:hAnsi="仿宋" w:eastAsia="仿宋" w:cs="仿宋"/>
          <w:sz w:val="18"/>
          <w:szCs w:val="15"/>
          <w:highlight w:val="none"/>
        </w:rPr>
        <w:t xml:space="preserve"> </w:t>
      </w:r>
      <w:r>
        <w:rPr>
          <w:rFonts w:hint="eastAsia" w:ascii="仿宋" w:hAnsi="仿宋" w:eastAsia="仿宋" w:cs="仿宋"/>
          <w:sz w:val="28"/>
          <w:szCs w:val="22"/>
          <w:highlight w:val="none"/>
          <w:u w:val="single"/>
        </w:rPr>
        <w:t xml:space="preserve">（牵头单位）                       </w:t>
      </w:r>
      <w:r>
        <w:rPr>
          <w:rFonts w:hint="eastAsia" w:ascii="仿宋_GB2312" w:eastAsia="黑体"/>
          <w:sz w:val="32"/>
          <w:highlight w:val="none"/>
        </w:rPr>
        <w:t>（盖章）</w:t>
      </w:r>
    </w:p>
    <w:p>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ascii="仿宋" w:hAnsi="仿宋" w:eastAsia="仿宋" w:cs="仿宋"/>
          <w:sz w:val="22"/>
          <w:szCs w:val="20"/>
          <w:highlight w:val="none"/>
          <w:u w:val="single"/>
        </w:rPr>
      </w:pPr>
      <w:r>
        <w:rPr>
          <w:rFonts w:hint="eastAsia" w:ascii="仿宋" w:hAnsi="仿宋" w:eastAsia="仿宋" w:cs="仿宋"/>
          <w:sz w:val="22"/>
          <w:szCs w:val="20"/>
          <w:highlight w:val="none"/>
        </w:rPr>
        <w:t xml:space="preserve">                  </w:t>
      </w:r>
      <w:r>
        <w:rPr>
          <w:rFonts w:hint="eastAsia" w:ascii="仿宋" w:hAnsi="仿宋" w:eastAsia="仿宋" w:cs="仿宋"/>
          <w:sz w:val="22"/>
          <w:szCs w:val="20"/>
          <w:highlight w:val="none"/>
          <w:u w:val="single"/>
        </w:rPr>
        <w:t xml:space="preserve"> </w:t>
      </w:r>
      <w:r>
        <w:rPr>
          <w:rFonts w:hint="eastAsia" w:ascii="仿宋" w:hAnsi="仿宋" w:eastAsia="仿宋" w:cs="仿宋"/>
          <w:sz w:val="28"/>
          <w:szCs w:val="22"/>
          <w:highlight w:val="none"/>
          <w:u w:val="single"/>
        </w:rPr>
        <w:t xml:space="preserve">（联合单位）                       </w:t>
      </w:r>
      <w:r>
        <w:rPr>
          <w:rFonts w:hint="eastAsia" w:ascii="仿宋_GB2312" w:eastAsia="黑体"/>
          <w:sz w:val="32"/>
          <w:highlight w:val="none"/>
        </w:rPr>
        <w:t>（盖章）</w:t>
      </w:r>
      <w:r>
        <w:rPr>
          <w:rFonts w:hint="eastAsia" w:ascii="仿宋" w:hAnsi="仿宋" w:eastAsia="仿宋" w:cs="仿宋"/>
          <w:sz w:val="22"/>
          <w:szCs w:val="20"/>
          <w:highlight w:val="none"/>
          <w:u w:val="single"/>
        </w:rPr>
        <w:t xml:space="preserve"> </w:t>
      </w:r>
    </w:p>
    <w:p>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ascii="仿宋_GB2312" w:eastAsia="黑体"/>
          <w:sz w:val="32"/>
          <w:highlight w:val="none"/>
        </w:rPr>
      </w:pPr>
      <w:r>
        <w:rPr>
          <w:rFonts w:hint="eastAsia" w:ascii="仿宋" w:hAnsi="仿宋" w:eastAsia="仿宋" w:cs="仿宋"/>
          <w:sz w:val="22"/>
          <w:szCs w:val="20"/>
          <w:highlight w:val="none"/>
        </w:rPr>
        <w:t xml:space="preserve">                  </w:t>
      </w:r>
      <w:r>
        <w:rPr>
          <w:rFonts w:hint="eastAsia" w:ascii="仿宋" w:hAnsi="仿宋" w:eastAsia="仿宋" w:cs="仿宋"/>
          <w:sz w:val="22"/>
          <w:szCs w:val="20"/>
          <w:highlight w:val="none"/>
          <w:u w:val="single"/>
        </w:rPr>
        <w:t xml:space="preserve"> </w:t>
      </w:r>
      <w:r>
        <w:rPr>
          <w:rFonts w:hint="eastAsia" w:ascii="仿宋" w:hAnsi="仿宋" w:eastAsia="仿宋" w:cs="仿宋"/>
          <w:sz w:val="28"/>
          <w:szCs w:val="22"/>
          <w:highlight w:val="none"/>
          <w:u w:val="single"/>
        </w:rPr>
        <w:t xml:space="preserve">（联合单位）                       </w:t>
      </w:r>
      <w:r>
        <w:rPr>
          <w:rFonts w:hint="eastAsia" w:ascii="仿宋_GB2312" w:eastAsia="黑体"/>
          <w:sz w:val="32"/>
          <w:highlight w:val="none"/>
        </w:rPr>
        <w:t>（盖章）</w:t>
      </w:r>
    </w:p>
    <w:p>
      <w:pPr>
        <w:pageBreakBefore w:val="0"/>
        <w:tabs>
          <w:tab w:val="left" w:pos="6580"/>
          <w:tab w:val="left" w:pos="6780"/>
        </w:tabs>
        <w:kinsoku/>
        <w:overflowPunct/>
        <w:topLinePunct w:val="0"/>
        <w:bidi w:val="0"/>
        <w:snapToGrid w:val="0"/>
        <w:spacing w:line="560" w:lineRule="exact"/>
        <w:ind w:firstLine="640" w:firstLineChars="200"/>
        <w:jc w:val="left"/>
        <w:rPr>
          <w:rFonts w:ascii="仿宋_GB2312" w:eastAsia="黑体"/>
          <w:b/>
          <w:sz w:val="32"/>
          <w:highlight w:val="none"/>
          <w:u w:val="single"/>
        </w:rPr>
      </w:pPr>
      <w:r>
        <w:rPr>
          <w:rFonts w:hint="eastAsia" w:ascii="仿宋_GB2312" w:eastAsia="黑体"/>
          <w:b/>
          <w:sz w:val="32"/>
          <w:highlight w:val="none"/>
        </w:rPr>
        <w:t>申 报 时 间</w:t>
      </w:r>
      <w:r>
        <w:rPr>
          <w:rFonts w:hint="eastAsia" w:ascii="仿宋_GB2312" w:eastAsia="黑体"/>
          <w:b/>
          <w:sz w:val="32"/>
          <w:highlight w:val="none"/>
          <w:u w:val="single"/>
        </w:rPr>
        <w:t xml:space="preserve">                               </w:t>
      </w:r>
    </w:p>
    <w:p>
      <w:pPr>
        <w:pageBreakBefore w:val="0"/>
        <w:kinsoku/>
        <w:overflowPunct/>
        <w:topLinePunct w:val="0"/>
        <w:bidi w:val="0"/>
        <w:snapToGrid w:val="0"/>
        <w:spacing w:line="560" w:lineRule="exact"/>
        <w:rPr>
          <w:rFonts w:ascii="仿宋_GB2312"/>
          <w:sz w:val="28"/>
          <w:highlight w:val="none"/>
        </w:rPr>
      </w:pPr>
    </w:p>
    <w:p>
      <w:pPr>
        <w:pageBreakBefore w:val="0"/>
        <w:kinsoku/>
        <w:overflowPunct/>
        <w:topLinePunct w:val="0"/>
        <w:bidi w:val="0"/>
        <w:snapToGrid w:val="0"/>
        <w:spacing w:line="560" w:lineRule="exact"/>
        <w:rPr>
          <w:rFonts w:ascii="仿宋_GB2312"/>
          <w:sz w:val="28"/>
          <w:highlight w:val="none"/>
        </w:rPr>
      </w:pPr>
    </w:p>
    <w:tbl>
      <w:tblPr>
        <w:tblStyle w:val="14"/>
        <w:tblpPr w:leftFromText="180" w:rightFromText="180" w:vertAnchor="text" w:horzAnchor="margin" w:tblpXSpec="center" w:tblpY="436"/>
        <w:tblW w:w="6141" w:type="dxa"/>
        <w:tblInd w:w="0" w:type="dxa"/>
        <w:tblLayout w:type="fixed"/>
        <w:tblCellMar>
          <w:top w:w="0" w:type="dxa"/>
          <w:left w:w="108" w:type="dxa"/>
          <w:bottom w:w="0" w:type="dxa"/>
          <w:right w:w="108" w:type="dxa"/>
        </w:tblCellMar>
      </w:tblPr>
      <w:tblGrid>
        <w:gridCol w:w="5105"/>
        <w:gridCol w:w="1036"/>
      </w:tblGrid>
      <w:tr>
        <w:tblPrEx>
          <w:tblCellMar>
            <w:top w:w="0" w:type="dxa"/>
            <w:left w:w="108" w:type="dxa"/>
            <w:bottom w:w="0" w:type="dxa"/>
            <w:right w:w="108" w:type="dxa"/>
          </w:tblCellMar>
        </w:tblPrEx>
        <w:trPr>
          <w:trHeight w:val="620" w:hRule="atLeast"/>
        </w:trPr>
        <w:tc>
          <w:tcPr>
            <w:tcW w:w="5105" w:type="dxa"/>
          </w:tcPr>
          <w:p>
            <w:pPr>
              <w:pageBreakBefore w:val="0"/>
              <w:kinsoku/>
              <w:overflowPunct/>
              <w:topLinePunct w:val="0"/>
              <w:bidi w:val="0"/>
              <w:spacing w:line="560" w:lineRule="exact"/>
              <w:ind w:right="640" w:firstLine="1280" w:firstLineChars="400"/>
              <w:rPr>
                <w:rFonts w:ascii="宋体" w:hAnsi="宋体"/>
                <w:sz w:val="30"/>
                <w:szCs w:val="30"/>
                <w:highlight w:val="none"/>
              </w:rPr>
            </w:pPr>
            <w:r>
              <w:rPr>
                <w:rFonts w:hint="eastAsia" w:ascii="黑体" w:hAnsi="宋体" w:eastAsia="黑体"/>
                <w:sz w:val="32"/>
                <w:szCs w:val="32"/>
                <w:highlight w:val="none"/>
              </w:rPr>
              <w:t>深圳市住房和建设局</w:t>
            </w:r>
          </w:p>
        </w:tc>
        <w:tc>
          <w:tcPr>
            <w:tcW w:w="1036" w:type="dxa"/>
            <w:vAlign w:val="center"/>
          </w:tcPr>
          <w:p>
            <w:pPr>
              <w:pageBreakBefore w:val="0"/>
              <w:kinsoku/>
              <w:overflowPunct/>
              <w:topLinePunct w:val="0"/>
              <w:bidi w:val="0"/>
              <w:spacing w:line="560" w:lineRule="exact"/>
              <w:rPr>
                <w:rFonts w:ascii="宋体" w:hAnsi="宋体"/>
                <w:sz w:val="30"/>
                <w:szCs w:val="30"/>
                <w:highlight w:val="none"/>
              </w:rPr>
            </w:pPr>
            <w:r>
              <w:rPr>
                <w:rFonts w:hint="eastAsia" w:ascii="黑体" w:hAnsi="宋体" w:eastAsia="黑体"/>
                <w:sz w:val="32"/>
                <w:szCs w:val="32"/>
                <w:highlight w:val="none"/>
              </w:rPr>
              <w:t>编制</w:t>
            </w:r>
          </w:p>
        </w:tc>
      </w:tr>
    </w:tbl>
    <w:p>
      <w:pPr>
        <w:pageBreakBefore w:val="0"/>
        <w:kinsoku/>
        <w:overflowPunct/>
        <w:topLinePunct w:val="0"/>
        <w:bidi w:val="0"/>
        <w:snapToGrid w:val="0"/>
        <w:spacing w:line="560" w:lineRule="exact"/>
        <w:rPr>
          <w:rFonts w:ascii="仿宋_GB2312"/>
          <w:sz w:val="28"/>
          <w:highlight w:val="none"/>
        </w:rPr>
      </w:pPr>
    </w:p>
    <w:p>
      <w:pPr>
        <w:pageBreakBefore w:val="0"/>
        <w:kinsoku/>
        <w:overflowPunct/>
        <w:topLinePunct w:val="0"/>
        <w:bidi w:val="0"/>
        <w:snapToGrid w:val="0"/>
        <w:spacing w:line="560" w:lineRule="exact"/>
        <w:rPr>
          <w:rFonts w:ascii="仿宋_GB2312"/>
          <w:sz w:val="28"/>
          <w:highlight w:val="none"/>
        </w:rPr>
      </w:pPr>
    </w:p>
    <w:p>
      <w:pPr>
        <w:pageBreakBefore w:val="0"/>
        <w:widowControl/>
        <w:kinsoku/>
        <w:overflowPunct/>
        <w:topLinePunct w:val="0"/>
        <w:bidi w:val="0"/>
        <w:spacing w:line="560" w:lineRule="exact"/>
        <w:jc w:val="left"/>
        <w:rPr>
          <w:rFonts w:ascii="仿宋_GB2312" w:hAnsi="Courier New" w:eastAsia="仿宋_GB2312"/>
          <w:b/>
          <w:sz w:val="24"/>
          <w:highlight w:val="none"/>
        </w:rPr>
      </w:pPr>
      <w:r>
        <w:rPr>
          <w:rFonts w:ascii="仿宋_GB2312" w:hAnsi="Courier New" w:eastAsia="仿宋_GB2312"/>
          <w:b/>
          <w:sz w:val="24"/>
          <w:highlight w:val="none"/>
        </w:rPr>
        <w:br w:type="page"/>
      </w:r>
    </w:p>
    <w:p>
      <w:pPr>
        <w:pageBreakBefore w:val="0"/>
        <w:kinsoku/>
        <w:overflowPunct/>
        <w:topLinePunct w:val="0"/>
        <w:bidi w:val="0"/>
        <w:snapToGrid w:val="0"/>
        <w:spacing w:line="560" w:lineRule="exact"/>
        <w:rPr>
          <w:rFonts w:ascii="仿宋_GB2312" w:hAnsi="Courier New" w:eastAsia="仿宋_GB2312"/>
          <w:b/>
          <w:sz w:val="24"/>
          <w:highlight w:val="none"/>
        </w:rPr>
      </w:pPr>
    </w:p>
    <w:p>
      <w:pPr>
        <w:pageBreakBefore w:val="0"/>
        <w:kinsoku/>
        <w:overflowPunct/>
        <w:topLinePunct w:val="0"/>
        <w:bidi w:val="0"/>
        <w:snapToGrid w:val="0"/>
        <w:spacing w:line="560" w:lineRule="exact"/>
        <w:jc w:val="center"/>
        <w:rPr>
          <w:rFonts w:ascii="黑体" w:eastAsia="黑体"/>
          <w:b/>
          <w:bCs/>
          <w:color w:val="000000"/>
          <w:sz w:val="36"/>
          <w:highlight w:val="none"/>
        </w:rPr>
      </w:pPr>
      <w:r>
        <w:rPr>
          <w:rFonts w:hint="eastAsia" w:ascii="仿宋_GB2312" w:eastAsia="仿宋_GB2312"/>
          <w:b/>
          <w:bCs/>
          <w:color w:val="000000"/>
          <w:sz w:val="36"/>
          <w:szCs w:val="36"/>
          <w:highlight w:val="none"/>
        </w:rPr>
        <w:t>填报说明</w:t>
      </w:r>
    </w:p>
    <w:p>
      <w:pPr>
        <w:pageBreakBefore w:val="0"/>
        <w:kinsoku/>
        <w:overflowPunct/>
        <w:topLinePunct w:val="0"/>
        <w:bidi w:val="0"/>
        <w:snapToGrid w:val="0"/>
        <w:spacing w:line="560" w:lineRule="exact"/>
        <w:ind w:firstLine="624"/>
        <w:rPr>
          <w:rFonts w:ascii="仿宋_GB2312" w:eastAsia="仿宋_GB2312"/>
          <w:sz w:val="30"/>
          <w:highlight w:val="none"/>
        </w:rPr>
      </w:pPr>
    </w:p>
    <w:p>
      <w:pPr>
        <w:pageBreakBefore w:val="0"/>
        <w:kinsoku/>
        <w:overflowPunct/>
        <w:topLinePunct w:val="0"/>
        <w:bidi w:val="0"/>
        <w:snapToGrid w:val="0"/>
        <w:spacing w:line="560" w:lineRule="exact"/>
        <w:ind w:firstLine="624"/>
        <w:rPr>
          <w:rFonts w:ascii="仿宋_GB2312" w:eastAsia="仿宋_GB2312"/>
          <w:sz w:val="30"/>
          <w:highlight w:val="none"/>
        </w:rPr>
      </w:pPr>
      <w:r>
        <w:rPr>
          <w:rFonts w:hint="eastAsia" w:ascii="仿宋_GB2312" w:eastAsia="仿宋_GB2312"/>
          <w:sz w:val="30"/>
          <w:highlight w:val="none"/>
        </w:rPr>
        <w:t>1.申报项目需符合申报指南的要求，名称规范完整，数据准确，文字表述清晰；</w:t>
      </w:r>
    </w:p>
    <w:p>
      <w:pPr>
        <w:pageBreakBefore w:val="0"/>
        <w:kinsoku/>
        <w:overflowPunct/>
        <w:topLinePunct w:val="0"/>
        <w:bidi w:val="0"/>
        <w:snapToGrid w:val="0"/>
        <w:spacing w:line="560" w:lineRule="exact"/>
        <w:ind w:firstLine="624"/>
        <w:rPr>
          <w:rFonts w:ascii="仿宋_GB2312" w:eastAsia="仿宋_GB2312"/>
          <w:sz w:val="30"/>
          <w:highlight w:val="none"/>
        </w:rPr>
      </w:pPr>
      <w:r>
        <w:rPr>
          <w:rFonts w:hint="eastAsia" w:ascii="仿宋_GB2312" w:eastAsia="仿宋_GB2312"/>
          <w:sz w:val="30"/>
          <w:highlight w:val="none"/>
        </w:rPr>
        <w:t>2.申报项目符合《深圳市工程建设领域绿色创新发展专项资金管理办法》《深圳市工程建设领域绿色创新发展专项资金实施细则》等有关规定；</w:t>
      </w:r>
    </w:p>
    <w:p>
      <w:pPr>
        <w:pageBreakBefore w:val="0"/>
        <w:kinsoku/>
        <w:overflowPunct/>
        <w:topLinePunct w:val="0"/>
        <w:bidi w:val="0"/>
        <w:snapToGrid w:val="0"/>
        <w:spacing w:line="560" w:lineRule="exact"/>
        <w:ind w:firstLine="624"/>
        <w:rPr>
          <w:rFonts w:ascii="仿宋_GB2312" w:hAnsi="Courier New" w:eastAsia="仿宋_GB2312"/>
          <w:sz w:val="24"/>
          <w:highlight w:val="none"/>
        </w:rPr>
      </w:pPr>
      <w:r>
        <w:rPr>
          <w:rFonts w:hint="eastAsia" w:ascii="仿宋_GB2312" w:eastAsia="仿宋_GB2312"/>
          <w:sz w:val="30"/>
          <w:highlight w:val="none"/>
        </w:rPr>
        <w:t>3.本项目申报书内容应按要求填写完整，不得漏填、缺项。</w:t>
      </w:r>
    </w:p>
    <w:p>
      <w:pPr>
        <w:pageBreakBefore w:val="0"/>
        <w:kinsoku/>
        <w:overflowPunct/>
        <w:topLinePunct w:val="0"/>
        <w:bidi w:val="0"/>
        <w:spacing w:line="560" w:lineRule="exact"/>
        <w:jc w:val="left"/>
        <w:rPr>
          <w:rFonts w:ascii="仿宋_GB2312" w:hAnsi="Courier New" w:eastAsia="仿宋_GB2312"/>
          <w:sz w:val="24"/>
          <w:highlight w:val="none"/>
        </w:rPr>
      </w:pPr>
      <w:r>
        <w:rPr>
          <w:rFonts w:ascii="仿宋_GB2312" w:hAnsi="Courier New" w:eastAsia="仿宋_GB2312"/>
          <w:sz w:val="24"/>
          <w:highlight w:val="none"/>
        </w:rPr>
        <w:br w:type="page"/>
      </w:r>
    </w:p>
    <w:p>
      <w:pPr>
        <w:pStyle w:val="2"/>
        <w:pageBreakBefore w:val="0"/>
        <w:kinsoku/>
        <w:overflowPunct/>
        <w:topLinePunct w:val="0"/>
        <w:bidi w:val="0"/>
        <w:spacing w:before="312" w:beforeLines="100" w:after="312" w:afterLines="100" w:line="560" w:lineRule="exact"/>
        <w:jc w:val="center"/>
        <w:rPr>
          <w:sz w:val="36"/>
          <w:szCs w:val="36"/>
          <w:highlight w:val="none"/>
        </w:rPr>
      </w:pPr>
      <w:r>
        <w:rPr>
          <w:rFonts w:hint="eastAsia"/>
          <w:sz w:val="36"/>
          <w:szCs w:val="36"/>
          <w:highlight w:val="none"/>
        </w:rPr>
        <w:t>承 诺 书</w:t>
      </w:r>
    </w:p>
    <w:p>
      <w:pPr>
        <w:pageBreakBefore w:val="0"/>
        <w:kinsoku/>
        <w:overflowPunct/>
        <w:topLinePunct w:val="0"/>
        <w:bidi w:val="0"/>
        <w:snapToGrid w:val="0"/>
        <w:spacing w:line="560" w:lineRule="exact"/>
        <w:rPr>
          <w:rFonts w:ascii="仿宋_GB2312" w:eastAsia="仿宋_GB2312"/>
          <w:sz w:val="28"/>
          <w:szCs w:val="22"/>
          <w:highlight w:val="none"/>
        </w:rPr>
      </w:pPr>
      <w:r>
        <w:rPr>
          <w:rFonts w:hint="eastAsia" w:ascii="仿宋_GB2312" w:eastAsia="仿宋_GB2312"/>
          <w:sz w:val="28"/>
          <w:szCs w:val="22"/>
          <w:highlight w:val="none"/>
        </w:rPr>
        <w:t>深圳市住房和建设局：</w:t>
      </w:r>
    </w:p>
    <w:p>
      <w:pPr>
        <w:pageBreakBefore w:val="0"/>
        <w:kinsoku/>
        <w:overflowPunct/>
        <w:topLinePunct w:val="0"/>
        <w:bidi w:val="0"/>
        <w:snapToGrid w:val="0"/>
        <w:spacing w:line="560" w:lineRule="exact"/>
        <w:ind w:firstLine="560" w:firstLineChars="200"/>
        <w:rPr>
          <w:rFonts w:ascii="仿宋_GB2312" w:eastAsia="仿宋_GB2312"/>
          <w:sz w:val="28"/>
          <w:szCs w:val="22"/>
          <w:highlight w:val="none"/>
        </w:rPr>
      </w:pPr>
      <w:r>
        <w:rPr>
          <w:rFonts w:hint="eastAsia" w:ascii="仿宋_GB2312" w:eastAsia="仿宋_GB2312"/>
          <w:sz w:val="28"/>
          <w:szCs w:val="22"/>
          <w:highlight w:val="none"/>
        </w:rPr>
        <w:t>我单位自愿申请深圳市工程建设领域绿色创新发展专项资金扶持项目，并做出以下承诺：</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1.本次申报的所有材料内容及所附资料均真实、合法、完整、有效。</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2.本次申报项目不存在以超低能耗建筑名义重复申报或多头申报其他市级财政专项资金的情况。</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3.我单位未被列入失信联合惩戒名单。</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4</w:t>
      </w:r>
      <w:r>
        <w:rPr>
          <w:rFonts w:ascii="仿宋_GB2312" w:eastAsia="仿宋_GB2312"/>
          <w:sz w:val="28"/>
          <w:szCs w:val="22"/>
          <w:highlight w:val="none"/>
        </w:rPr>
        <w:t>.</w:t>
      </w:r>
      <w:r>
        <w:rPr>
          <w:rFonts w:hint="eastAsia" w:ascii="仿宋_GB2312" w:eastAsia="仿宋_GB2312"/>
          <w:sz w:val="28"/>
          <w:szCs w:val="22"/>
          <w:highlight w:val="none"/>
        </w:rPr>
        <w:t>我单位项目不存在被监管部门责令限期拆除，但尚未拆除的违法建筑。</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ascii="仿宋_GB2312" w:eastAsia="仿宋_GB2312"/>
          <w:sz w:val="28"/>
          <w:szCs w:val="22"/>
          <w:highlight w:val="none"/>
        </w:rPr>
        <w:t>5.</w:t>
      </w:r>
      <w:r>
        <w:rPr>
          <w:rFonts w:hint="eastAsia" w:ascii="仿宋_GB2312" w:eastAsia="仿宋_GB2312"/>
          <w:sz w:val="28"/>
          <w:szCs w:val="22"/>
          <w:highlight w:val="none"/>
        </w:rPr>
        <w:t>我单位3年内未发生较大及以上安全生产事故，1年内未发生一般安全生产事故。</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ascii="仿宋_GB2312" w:eastAsia="仿宋_GB2312"/>
          <w:sz w:val="28"/>
          <w:szCs w:val="22"/>
          <w:highlight w:val="none"/>
        </w:rPr>
        <w:t>6.</w:t>
      </w:r>
      <w:r>
        <w:rPr>
          <w:rFonts w:hint="eastAsia" w:ascii="仿宋_GB2312" w:eastAsia="仿宋_GB2312"/>
          <w:sz w:val="28"/>
          <w:szCs w:val="22"/>
          <w:highlight w:val="none"/>
        </w:rPr>
        <w:t>我单位及本次申报项目不存在法律、法规和规章明确规定不予资助的情形。</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7.若获得深圳市工程建设领域绿色创新发展专项资金资助，我单位将严格按照深圳市住房和建设局有关规定签订和执行有关资助协议，配合深圳市住房和建设局组织开展的观摩、交流等活动，并策划及配备超低能耗建筑相关的观摩方案。</w:t>
      </w:r>
    </w:p>
    <w:p>
      <w:pPr>
        <w:pageBreakBefore w:val="0"/>
        <w:kinsoku/>
        <w:overflowPunct/>
        <w:topLinePunct w:val="0"/>
        <w:bidi w:val="0"/>
        <w:snapToGrid w:val="0"/>
        <w:spacing w:line="560" w:lineRule="exact"/>
        <w:ind w:firstLine="624"/>
        <w:rPr>
          <w:rFonts w:ascii="仿宋_GB2312" w:eastAsia="仿宋_GB2312"/>
          <w:sz w:val="28"/>
          <w:szCs w:val="22"/>
          <w:highlight w:val="none"/>
        </w:rPr>
      </w:pPr>
      <w:r>
        <w:rPr>
          <w:rFonts w:hint="eastAsia" w:ascii="仿宋_GB2312" w:eastAsia="仿宋_GB2312"/>
          <w:sz w:val="28"/>
          <w:szCs w:val="22"/>
          <w:highlight w:val="none"/>
        </w:rPr>
        <w:t>以上承诺若有违反，一经查实，本单位自动放弃申请，本人和本单位愿意承担由此带来的法律后果。</w:t>
      </w:r>
    </w:p>
    <w:p>
      <w:pPr>
        <w:pageBreakBefore w:val="0"/>
        <w:widowControl/>
        <w:kinsoku/>
        <w:overflowPunct/>
        <w:topLinePunct w:val="0"/>
        <w:bidi w:val="0"/>
        <w:snapToGrid w:val="0"/>
        <w:spacing w:line="560" w:lineRule="exact"/>
        <w:jc w:val="center"/>
        <w:rPr>
          <w:rFonts w:ascii="仿宋" w:hAnsi="仿宋" w:eastAsia="仿宋" w:cs="仿宋"/>
          <w:kern w:val="0"/>
          <w:sz w:val="24"/>
          <w:highlight w:val="none"/>
        </w:rPr>
      </w:pPr>
      <w:r>
        <w:rPr>
          <w:rFonts w:hint="eastAsia" w:ascii="仿宋_GB2312" w:eastAsia="仿宋_GB2312"/>
          <w:sz w:val="30"/>
          <w:highlight w:val="none"/>
        </w:rPr>
        <w:t>承诺单位：</w:t>
      </w:r>
      <w:r>
        <w:rPr>
          <w:rFonts w:hint="eastAsia" w:ascii="仿宋" w:hAnsi="仿宋" w:eastAsia="仿宋" w:cs="仿宋"/>
          <w:kern w:val="0"/>
          <w:sz w:val="24"/>
          <w:highlight w:val="none"/>
        </w:rPr>
        <w:t xml:space="preserve">（牵头单位公章）     </w:t>
      </w:r>
      <w:r>
        <w:rPr>
          <w:rFonts w:hint="eastAsia" w:ascii="仿宋_GB2312" w:eastAsia="仿宋_GB2312"/>
          <w:sz w:val="30"/>
          <w:highlight w:val="none"/>
        </w:rPr>
        <w:t>承诺人</w:t>
      </w:r>
      <w:r>
        <w:rPr>
          <w:rFonts w:hint="eastAsia" w:ascii="仿宋" w:hAnsi="仿宋" w:eastAsia="仿宋" w:cs="仿宋"/>
          <w:kern w:val="0"/>
          <w:sz w:val="24"/>
          <w:highlight w:val="none"/>
        </w:rPr>
        <w:t>：（牵头单位法定代表人签字）</w:t>
      </w:r>
    </w:p>
    <w:p>
      <w:pPr>
        <w:pageBreakBefore w:val="0"/>
        <w:widowControl/>
        <w:kinsoku/>
        <w:overflowPunct/>
        <w:topLinePunct w:val="0"/>
        <w:bidi w:val="0"/>
        <w:spacing w:line="560" w:lineRule="exact"/>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（联合单位公章）               （联合单位法定代表人签字）</w:t>
      </w:r>
    </w:p>
    <w:p>
      <w:pPr>
        <w:pageBreakBefore w:val="0"/>
        <w:widowControl/>
        <w:kinsoku/>
        <w:overflowPunct/>
        <w:topLinePunct w:val="0"/>
        <w:bidi w:val="0"/>
        <w:spacing w:line="560" w:lineRule="exact"/>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（联合单位公章）               （联合单位法定代表人签字）</w:t>
      </w:r>
    </w:p>
    <w:p>
      <w:pPr>
        <w:pageBreakBefore w:val="0"/>
        <w:widowControl/>
        <w:kinsoku/>
        <w:overflowPunct/>
        <w:topLinePunct w:val="0"/>
        <w:bidi w:val="0"/>
        <w:snapToGrid w:val="0"/>
        <w:spacing w:line="560" w:lineRule="exact"/>
        <w:ind w:right="2100" w:rightChars="1000" w:firstLine="600" w:firstLineChars="200"/>
        <w:jc w:val="right"/>
        <w:rPr>
          <w:rFonts w:ascii="仿宋_GB2312" w:hAnsi="Courier New" w:eastAsia="仿宋_GB2312"/>
          <w:sz w:val="24"/>
          <w:highlight w:val="none"/>
        </w:rPr>
        <w:sectPr>
          <w:footerReference r:id="rId3" w:type="default"/>
          <w:pgSz w:w="11906" w:h="16838"/>
          <w:pgMar w:top="1418" w:right="1531" w:bottom="1361" w:left="1644" w:header="851" w:footer="992" w:gutter="0"/>
          <w:cols w:space="720" w:num="1"/>
          <w:docGrid w:type="linesAndChars" w:linePitch="312" w:charSpace="0"/>
        </w:sectPr>
      </w:pPr>
      <w:r>
        <w:rPr>
          <w:rFonts w:hint="eastAsia" w:ascii="仿宋" w:hAnsi="仿宋" w:eastAsia="仿宋" w:cs="仿宋"/>
          <w:sz w:val="30"/>
          <w:szCs w:val="30"/>
          <w:highlight w:val="none"/>
        </w:rPr>
        <w:t xml:space="preserve">          年   月   日</w:t>
      </w:r>
    </w:p>
    <w:tbl>
      <w:tblPr>
        <w:tblStyle w:val="14"/>
        <w:tblW w:w="89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
      <w:tblGrid>
        <w:gridCol w:w="1203"/>
        <w:gridCol w:w="325"/>
        <w:gridCol w:w="179"/>
        <w:gridCol w:w="315"/>
        <w:gridCol w:w="361"/>
        <w:gridCol w:w="408"/>
        <w:gridCol w:w="89"/>
        <w:gridCol w:w="337"/>
        <w:gridCol w:w="269"/>
        <w:gridCol w:w="569"/>
        <w:gridCol w:w="374"/>
        <w:gridCol w:w="3"/>
        <w:gridCol w:w="1024"/>
        <w:gridCol w:w="460"/>
        <w:gridCol w:w="153"/>
        <w:gridCol w:w="552"/>
        <w:gridCol w:w="141"/>
        <w:gridCol w:w="12"/>
        <w:gridCol w:w="455"/>
        <w:gridCol w:w="778"/>
        <w:gridCol w:w="8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363"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color w:val="000000"/>
                <w:sz w:val="24"/>
                <w:highlight w:val="none"/>
              </w:rPr>
              <w:t>项目名称</w:t>
            </w:r>
          </w:p>
        </w:tc>
        <w:tc>
          <w:tcPr>
            <w:tcW w:w="7372" w:type="dxa"/>
            <w:gridSpan w:val="19"/>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项目地址</w:t>
            </w:r>
          </w:p>
        </w:tc>
        <w:tc>
          <w:tcPr>
            <w:tcW w:w="7372" w:type="dxa"/>
            <w:gridSpan w:val="19"/>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深圳市     区        街道     路     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431"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宗地号</w:t>
            </w:r>
          </w:p>
        </w:tc>
        <w:tc>
          <w:tcPr>
            <w:tcW w:w="7372" w:type="dxa"/>
            <w:gridSpan w:val="19"/>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b/>
                <w:bCs/>
                <w:color w:val="000000"/>
                <w:sz w:val="24"/>
                <w:highlight w:val="none"/>
              </w:rPr>
              <w:t>建设工程规划许证日期及编号</w:t>
            </w:r>
          </w:p>
        </w:tc>
        <w:tc>
          <w:tcPr>
            <w:tcW w:w="2901" w:type="dxa"/>
            <w:gridSpan w:val="9"/>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640"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highlight w:val="none"/>
              </w:rPr>
            </w:pPr>
            <w:r>
              <w:rPr>
                <w:rFonts w:hint="eastAsia" w:ascii="仿宋_GB2312" w:hAnsi="仿宋_GB2312" w:eastAsia="仿宋_GB2312" w:cs="仿宋_GB2312"/>
                <w:b/>
                <w:bCs/>
                <w:color w:val="000000"/>
                <w:sz w:val="24"/>
                <w:highlight w:val="none"/>
              </w:rPr>
              <w:t>工程竣工验收备案日期及编号</w:t>
            </w:r>
          </w:p>
        </w:tc>
        <w:tc>
          <w:tcPr>
            <w:tcW w:w="2831"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left="240" w:hanging="240" w:hangingChars="10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实施起止</w:t>
            </w:r>
          </w:p>
          <w:p>
            <w:pPr>
              <w:pageBreakBefore w:val="0"/>
              <w:kinsoku/>
              <w:overflowPunct/>
              <w:topLinePunct w:val="0"/>
              <w:bidi w:val="0"/>
              <w:snapToGrid w:val="0"/>
              <w:spacing w:line="560" w:lineRule="exact"/>
              <w:ind w:left="240" w:hanging="240" w:hangingChars="10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年限</w:t>
            </w:r>
          </w:p>
        </w:tc>
        <w:tc>
          <w:tcPr>
            <w:tcW w:w="7372" w:type="dxa"/>
            <w:gridSpan w:val="19"/>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项目立项时间：        年      月     日</w:t>
            </w:r>
          </w:p>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项目竣工时间：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3"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建筑类型</w:t>
            </w:r>
          </w:p>
        </w:tc>
        <w:tc>
          <w:tcPr>
            <w:tcW w:w="7372" w:type="dxa"/>
            <w:gridSpan w:val="19"/>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 xml:space="preserve">居住建筑  </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 xml:space="preserve">公共建筑   </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其他</w:t>
            </w:r>
            <w:r>
              <w:rPr>
                <w:rFonts w:hint="eastAsia" w:ascii="仿宋_GB2312" w:eastAsia="仿宋_GB2312"/>
                <w:sz w:val="24"/>
                <w:highlight w:val="none"/>
                <w:u w:val="single"/>
              </w:rPr>
              <w:t xml:space="preserve">      </w:t>
            </w:r>
          </w:p>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（相应选项打√）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127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采用标准</w:t>
            </w:r>
          </w:p>
        </w:tc>
        <w:tc>
          <w:tcPr>
            <w:tcW w:w="7372" w:type="dxa"/>
            <w:gridSpan w:val="19"/>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《近零能耗建筑技术标准》（GB/T51350-2019）</w:t>
            </w:r>
          </w:p>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《深圳市超低能耗建筑技术导则》</w:t>
            </w:r>
          </w:p>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（相应选项打√）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87"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认定</w:t>
            </w:r>
            <w:r>
              <w:rPr>
                <w:rFonts w:hint="eastAsia" w:ascii="仿宋_GB2312" w:hAnsi="仿宋_GB2312" w:eastAsia="仿宋_GB2312" w:cs="仿宋_GB2312"/>
                <w:sz w:val="24"/>
                <w:highlight w:val="none"/>
              </w:rPr>
              <w:t>类型</w:t>
            </w:r>
          </w:p>
        </w:tc>
        <w:tc>
          <w:tcPr>
            <w:tcW w:w="7372" w:type="dxa"/>
            <w:gridSpan w:val="19"/>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□超低能耗建筑  □近零能耗建筑  □零能耗建筑</w:t>
            </w:r>
          </w:p>
          <w:p>
            <w:pPr>
              <w:pageBreakBefore w:val="0"/>
              <w:kinsoku/>
              <w:overflowPunct/>
              <w:topLinePunct w:val="0"/>
              <w:bidi w:val="0"/>
              <w:snapToGrid w:val="0"/>
              <w:spacing w:line="560" w:lineRule="exact"/>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近</w:t>
            </w:r>
            <w:r>
              <w:rPr>
                <w:rFonts w:hint="eastAsia" w:ascii="仿宋_GB2312" w:hAnsi="仿宋_GB2312" w:eastAsia="仿宋_GB2312" w:cs="仿宋_GB2312"/>
                <w:kern w:val="0"/>
                <w:sz w:val="24"/>
                <w:highlight w:val="none"/>
              </w:rPr>
              <w:t xml:space="preserve">零碳建筑  </w:t>
            </w:r>
            <w:bookmarkStart w:id="3" w:name="OLE_LINK3"/>
            <w:r>
              <w:rPr>
                <w:rFonts w:hint="eastAsia" w:ascii="仿宋_GB2312" w:hAnsi="仿宋_GB2312" w:eastAsia="仿宋_GB2312" w:cs="仿宋_GB2312"/>
                <w:kern w:val="0"/>
                <w:sz w:val="24"/>
                <w:highlight w:val="none"/>
              </w:rPr>
              <w:t>□零碳建筑</w:t>
            </w:r>
            <w:bookmarkEnd w:id="3"/>
            <w:r>
              <w:rPr>
                <w:rFonts w:hint="eastAsia" w:ascii="仿宋_GB2312" w:hAnsi="仿宋_GB2312" w:eastAsia="仿宋_GB2312" w:cs="仿宋_GB2312"/>
                <w:sz w:val="24"/>
                <w:highlight w:val="none"/>
              </w:rPr>
              <w:t>（相应选项打√）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362"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用地面积</w:t>
            </w:r>
          </w:p>
        </w:tc>
        <w:tc>
          <w:tcPr>
            <w:tcW w:w="2901" w:type="dxa"/>
            <w:gridSpan w:val="9"/>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w:t>
            </w:r>
          </w:p>
        </w:tc>
        <w:tc>
          <w:tcPr>
            <w:tcW w:w="148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总建筑面积</w:t>
            </w:r>
          </w:p>
        </w:tc>
        <w:tc>
          <w:tcPr>
            <w:tcW w:w="29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示范面积</w:t>
            </w:r>
          </w:p>
        </w:tc>
        <w:tc>
          <w:tcPr>
            <w:tcW w:w="1352"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居住建筑</w:t>
            </w:r>
          </w:p>
        </w:tc>
        <w:tc>
          <w:tcPr>
            <w:tcW w:w="1549"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c>
          <w:tcPr>
            <w:tcW w:w="1487" w:type="dxa"/>
            <w:gridSpan w:val="3"/>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建筑</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面积</w:t>
            </w: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居住建筑</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vMerge w:val="continue"/>
            <w:tcBorders>
              <w:left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p>
        </w:tc>
        <w:tc>
          <w:tcPr>
            <w:tcW w:w="1352"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公共建筑</w:t>
            </w:r>
          </w:p>
        </w:tc>
        <w:tc>
          <w:tcPr>
            <w:tcW w:w="1549"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c>
          <w:tcPr>
            <w:tcW w:w="1487" w:type="dxa"/>
            <w:gridSpan w:val="3"/>
            <w:vMerge w:val="continue"/>
            <w:tcBorders>
              <w:left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公共建筑</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18"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总投资额</w:t>
            </w:r>
          </w:p>
        </w:tc>
        <w:tc>
          <w:tcPr>
            <w:tcW w:w="2901" w:type="dxa"/>
            <w:gridSpan w:val="9"/>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万元</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建安工程费用</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888"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超低能耗建筑增量成本</w:t>
            </w:r>
          </w:p>
        </w:tc>
        <w:tc>
          <w:tcPr>
            <w:tcW w:w="2901" w:type="dxa"/>
            <w:gridSpan w:val="9"/>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bidi w:val="0"/>
              <w:snapToGrid w:val="0"/>
              <w:spacing w:line="560" w:lineRule="exact"/>
              <w:jc w:val="right"/>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eastAsia="zh-CN"/>
              </w:rPr>
              <w:t>万元</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与超低能耗建筑相关的固定资产投资</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292" w:hRule="atLeast"/>
          <w:jc w:val="center"/>
        </w:trPr>
        <w:tc>
          <w:tcPr>
            <w:tcW w:w="1528" w:type="dxa"/>
            <w:gridSpan w:val="2"/>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室内环境指标</w:t>
            </w:r>
          </w:p>
        </w:tc>
        <w:tc>
          <w:tcPr>
            <w:tcW w:w="2901" w:type="dxa"/>
            <w:gridSpan w:val="9"/>
            <w:vMerge w:val="restart"/>
            <w:tcBorders>
              <w:top w:val="single" w:color="auto" w:sz="4" w:space="0"/>
              <w:left w:val="single" w:color="auto" w:sz="4" w:space="0"/>
              <w:right w:val="single" w:color="auto" w:sz="4" w:space="0"/>
            </w:tcBorders>
            <w:vAlign w:val="center"/>
          </w:tcPr>
          <w:p>
            <w:pPr>
              <w:pageBreakBefore w:val="0"/>
              <w:kinsoku/>
              <w:wordWrap/>
              <w:overflowPunct/>
              <w:topLinePunct w:val="0"/>
              <w:bidi w:val="0"/>
              <w:snapToGrid w:val="0"/>
              <w:spacing w:line="560" w:lineRule="exact"/>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居住建筑</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新风量m³/（h·人）</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right"/>
              <w:rPr>
                <w:rFonts w:hint="eastAsia"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292" w:hRule="atLeast"/>
          <w:jc w:val="center"/>
        </w:trPr>
        <w:tc>
          <w:tcPr>
            <w:tcW w:w="1528" w:type="dxa"/>
            <w:gridSpan w:val="2"/>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pPr>
          </w:p>
        </w:tc>
        <w:tc>
          <w:tcPr>
            <w:tcW w:w="2901" w:type="dxa"/>
            <w:gridSpan w:val="9"/>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pP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室内噪声值昼/夜dB(A)</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292" w:hRule="atLeast"/>
          <w:jc w:val="center"/>
        </w:trPr>
        <w:tc>
          <w:tcPr>
            <w:tcW w:w="1528" w:type="dxa"/>
            <w:gridSpan w:val="2"/>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p>
        </w:tc>
        <w:tc>
          <w:tcPr>
            <w:tcW w:w="2901" w:type="dxa"/>
            <w:gridSpan w:val="9"/>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建筑主要房间室内空气质量（如PM2.5、PM10、CO2）</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186" w:hRule="atLeast"/>
          <w:jc w:val="center"/>
        </w:trPr>
        <w:tc>
          <w:tcPr>
            <w:tcW w:w="1528" w:type="dxa"/>
            <w:gridSpan w:val="2"/>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p>
        </w:tc>
        <w:tc>
          <w:tcPr>
            <w:tcW w:w="2901" w:type="dxa"/>
            <w:gridSpan w:val="9"/>
            <w:vMerge w:val="restart"/>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公共建筑</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新风量m³/（h·人）</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186" w:hRule="atLeast"/>
          <w:jc w:val="center"/>
        </w:trPr>
        <w:tc>
          <w:tcPr>
            <w:tcW w:w="1528" w:type="dxa"/>
            <w:gridSpan w:val="2"/>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pPr>
          </w:p>
        </w:tc>
        <w:tc>
          <w:tcPr>
            <w:tcW w:w="2901" w:type="dxa"/>
            <w:gridSpan w:val="9"/>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pP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室内噪声值dB(A)</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186" w:hRule="atLeast"/>
          <w:jc w:val="center"/>
        </w:trPr>
        <w:tc>
          <w:tcPr>
            <w:tcW w:w="1528" w:type="dxa"/>
            <w:gridSpan w:val="2"/>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p>
        </w:tc>
        <w:tc>
          <w:tcPr>
            <w:tcW w:w="2901" w:type="dxa"/>
            <w:gridSpan w:val="9"/>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建筑主要房间室内空气质量（如PM2.5、PM10、CO2）</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528" w:type="dxa"/>
            <w:gridSpan w:val="2"/>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eastAsia="仿宋_GB2312"/>
                <w:sz w:val="24"/>
                <w:highlight w:val="none"/>
              </w:rPr>
            </w:pPr>
            <w:r>
              <w:rPr>
                <w:rFonts w:hint="eastAsia" w:ascii="仿宋_GB2312" w:eastAsia="仿宋_GB2312"/>
                <w:sz w:val="24"/>
                <w:highlight w:val="none"/>
              </w:rPr>
              <w:t>建筑能耗</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eastAsia="仿宋_GB2312" w:cs="Damascus Semi Bold"/>
                <w:sz w:val="24"/>
                <w:highlight w:val="none"/>
              </w:rPr>
              <w:t>指标</w:t>
            </w:r>
          </w:p>
        </w:tc>
        <w:tc>
          <w:tcPr>
            <w:tcW w:w="2901" w:type="dxa"/>
            <w:gridSpan w:val="9"/>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sz w:val="24"/>
                <w:highlight w:val="none"/>
              </w:rPr>
              <w:t>居住建筑</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bCs/>
                <w:kern w:val="0"/>
                <w:sz w:val="24"/>
                <w:highlight w:val="none"/>
              </w:rPr>
              <w:t>供暖年耗热量（kWh/ m</w:t>
            </w:r>
            <w:r>
              <w:rPr>
                <w:rFonts w:hint="eastAsia" w:ascii="仿宋_GB2312" w:eastAsia="仿宋_GB2312"/>
                <w:bCs/>
                <w:kern w:val="0"/>
                <w:sz w:val="24"/>
                <w:highlight w:val="none"/>
                <w:vertAlign w:val="superscript"/>
              </w:rPr>
              <w:t>2</w:t>
            </w:r>
            <w:r>
              <w:rPr>
                <w:rFonts w:hint="eastAsia" w:ascii="仿宋_GB2312" w:eastAsia="仿宋_GB2312"/>
                <w:bCs/>
                <w:kern w:val="0"/>
                <w:sz w:val="24"/>
                <w:highlight w:val="none"/>
              </w:rPr>
              <w:t>·a）</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528" w:type="dxa"/>
            <w:gridSpan w:val="2"/>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901" w:type="dxa"/>
            <w:gridSpan w:val="9"/>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bCs/>
                <w:kern w:val="0"/>
                <w:sz w:val="24"/>
                <w:highlight w:val="none"/>
              </w:rPr>
              <w:t>供冷年耗</w:t>
            </w:r>
            <w:r>
              <w:rPr>
                <w:rFonts w:hint="eastAsia" w:ascii="仿宋_GB2312" w:eastAsia="仿宋_GB2312"/>
                <w:bCs/>
                <w:kern w:val="0"/>
                <w:sz w:val="24"/>
                <w:highlight w:val="none"/>
                <w:lang w:val="en-US" w:eastAsia="zh-CN"/>
              </w:rPr>
              <w:t>冷</w:t>
            </w:r>
            <w:r>
              <w:rPr>
                <w:rFonts w:hint="eastAsia" w:ascii="仿宋_GB2312" w:eastAsia="仿宋_GB2312"/>
                <w:bCs/>
                <w:kern w:val="0"/>
                <w:sz w:val="24"/>
                <w:highlight w:val="none"/>
              </w:rPr>
              <w:t>量（kWh/ m</w:t>
            </w:r>
            <w:r>
              <w:rPr>
                <w:rFonts w:hint="eastAsia" w:ascii="仿宋_GB2312" w:eastAsia="仿宋_GB2312"/>
                <w:bCs/>
                <w:kern w:val="0"/>
                <w:sz w:val="24"/>
                <w:highlight w:val="none"/>
                <w:vertAlign w:val="superscript"/>
              </w:rPr>
              <w:t>2</w:t>
            </w:r>
            <w:r>
              <w:rPr>
                <w:rFonts w:hint="eastAsia" w:ascii="仿宋_GB2312" w:eastAsia="仿宋_GB2312"/>
                <w:bCs/>
                <w:kern w:val="0"/>
                <w:sz w:val="24"/>
                <w:highlight w:val="none"/>
              </w:rPr>
              <w:t>·a）</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528" w:type="dxa"/>
            <w:gridSpan w:val="2"/>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901" w:type="dxa"/>
            <w:gridSpan w:val="9"/>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sz w:val="24"/>
                <w:highlight w:val="none"/>
              </w:rPr>
              <w:t>一次能源消耗量（kWh/</w:t>
            </w:r>
            <w:r>
              <w:rPr>
                <w:rFonts w:hint="eastAsia" w:ascii="仿宋_GB2312" w:eastAsia="仿宋_GB2312"/>
                <w:bCs/>
                <w:kern w:val="0"/>
                <w:sz w:val="24"/>
                <w:highlight w:val="none"/>
              </w:rPr>
              <w:t xml:space="preserve"> m</w:t>
            </w:r>
            <w:r>
              <w:rPr>
                <w:rFonts w:hint="eastAsia" w:ascii="仿宋_GB2312" w:eastAsia="仿宋_GB2312"/>
                <w:bCs/>
                <w:kern w:val="0"/>
                <w:sz w:val="24"/>
                <w:highlight w:val="none"/>
                <w:vertAlign w:val="superscript"/>
              </w:rPr>
              <w:t>2</w:t>
            </w:r>
            <w:r>
              <w:rPr>
                <w:rFonts w:hint="eastAsia" w:ascii="仿宋_GB2312" w:eastAsia="仿宋_GB2312"/>
                <w:bCs/>
                <w:kern w:val="0"/>
                <w:sz w:val="24"/>
                <w:highlight w:val="none"/>
              </w:rPr>
              <w:t>·a</w:t>
            </w:r>
            <w:r>
              <w:rPr>
                <w:rFonts w:hint="eastAsia" w:ascii="仿宋_GB2312" w:eastAsia="仿宋_GB2312"/>
                <w:sz w:val="24"/>
                <w:highlight w:val="none"/>
              </w:rPr>
              <w:t>）</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528" w:type="dxa"/>
            <w:gridSpan w:val="2"/>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901" w:type="dxa"/>
            <w:gridSpan w:val="9"/>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sz w:val="24"/>
                <w:highlight w:val="none"/>
              </w:rPr>
              <w:t>公共建筑</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sz w:val="24"/>
                <w:highlight w:val="none"/>
              </w:rPr>
              <w:t>建筑本体节能率（%）</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528" w:type="dxa"/>
            <w:gridSpan w:val="2"/>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901" w:type="dxa"/>
            <w:gridSpan w:val="9"/>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eastAsia="仿宋_GB2312"/>
                <w:sz w:val="24"/>
                <w:highlight w:val="none"/>
              </w:rPr>
            </w:pP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eastAsia="仿宋_GB2312"/>
                <w:sz w:val="24"/>
                <w:highlight w:val="none"/>
              </w:rPr>
            </w:pPr>
            <w:r>
              <w:rPr>
                <w:rFonts w:hint="eastAsia" w:ascii="仿宋_GB2312" w:eastAsia="仿宋_GB2312"/>
                <w:sz w:val="24"/>
                <w:highlight w:val="none"/>
              </w:rPr>
              <w:t>可再生能源利用率（%）</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528" w:type="dxa"/>
            <w:gridSpan w:val="2"/>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901" w:type="dxa"/>
            <w:gridSpan w:val="9"/>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eastAsia="仿宋_GB2312"/>
                <w:sz w:val="24"/>
                <w:highlight w:val="none"/>
              </w:rPr>
              <w:t>建筑综合节能率（%）</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429" w:type="dxa"/>
            <w:gridSpan w:val="11"/>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kern w:val="0"/>
                <w:sz w:val="24"/>
                <w:highlight w:val="none"/>
                <w:lang w:eastAsia="zh-CN"/>
              </w:rPr>
            </w:pPr>
            <w:r>
              <w:rPr>
                <w:rFonts w:hint="eastAsia" w:ascii="仿宋_GB2312" w:eastAsia="仿宋_GB2312"/>
                <w:sz w:val="24"/>
                <w:highlight w:val="none"/>
              </w:rPr>
              <w:t>建筑</w:t>
            </w:r>
            <w:r>
              <w:rPr>
                <w:rFonts w:hint="eastAsia" w:ascii="仿宋_GB2312" w:eastAsia="仿宋_GB2312" w:cs="Damascus Semi Bold"/>
                <w:sz w:val="24"/>
                <w:highlight w:val="none"/>
              </w:rPr>
              <w:t>气密性</w:t>
            </w:r>
            <w:r>
              <w:rPr>
                <w:rFonts w:hint="eastAsia" w:ascii="仿宋_GB2312" w:eastAsia="仿宋_GB2312" w:cs="Damascus Semi Bold"/>
                <w:sz w:val="24"/>
                <w:highlight w:val="none"/>
                <w:lang w:eastAsia="zh-CN"/>
              </w:rPr>
              <w:t>（</w:t>
            </w:r>
            <w:r>
              <w:rPr>
                <w:rFonts w:hint="eastAsia" w:ascii="仿宋_GB2312" w:eastAsia="仿宋_GB2312" w:cs="Damascus Semi Bold"/>
                <w:sz w:val="24"/>
                <w:highlight w:val="none"/>
                <w:lang w:val="en-US" w:eastAsia="zh-CN"/>
              </w:rPr>
              <w:t>仅居住建筑填写</w:t>
            </w:r>
            <w:r>
              <w:rPr>
                <w:rFonts w:hint="eastAsia" w:ascii="仿宋_GB2312" w:eastAsia="仿宋_GB2312" w:cs="Damascus Semi Bold"/>
                <w:sz w:val="24"/>
                <w:highlight w:val="none"/>
                <w:lang w:eastAsia="zh-CN"/>
              </w:rPr>
              <w:t>）</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eastAsia="仿宋_GB2312"/>
                <w:sz w:val="24"/>
                <w:highlight w:val="none"/>
              </w:rPr>
            </w:pPr>
            <w:r>
              <w:rPr>
                <w:rFonts w:hint="eastAsia" w:ascii="仿宋_GB2312" w:eastAsia="仿宋_GB2312"/>
                <w:sz w:val="24"/>
                <w:highlight w:val="none"/>
              </w:rPr>
              <w:t>换气次数(N</w:t>
            </w:r>
            <w:r>
              <w:rPr>
                <w:rFonts w:hint="eastAsia" w:ascii="仿宋_GB2312" w:eastAsia="仿宋_GB2312"/>
                <w:sz w:val="24"/>
                <w:highlight w:val="none"/>
                <w:vertAlign w:val="subscript"/>
              </w:rPr>
              <w:t>50</w:t>
            </w:r>
            <w:r>
              <w:rPr>
                <w:rFonts w:hint="eastAsia" w:ascii="仿宋_GB2312" w:eastAsia="仿宋_GB2312"/>
                <w:sz w:val="24"/>
                <w:highlight w:val="none"/>
              </w:rPr>
              <w:t>)</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238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可再生能源应用类型</w:t>
            </w:r>
          </w:p>
        </w:tc>
        <w:tc>
          <w:tcPr>
            <w:tcW w:w="6517" w:type="dxa"/>
            <w:gridSpan w:val="1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Calibri" w:eastAsia="仿宋_GB2312"/>
                <w:bCs/>
                <w:kern w:val="0"/>
                <w:sz w:val="24"/>
                <w:highlight w:val="none"/>
              </w:rPr>
            </w:pPr>
            <w:r>
              <w:rPr>
                <w:rFonts w:hint="eastAsia" w:ascii="仿宋_GB2312" w:hAnsi="Calibri" w:eastAsia="仿宋_GB2312"/>
                <w:bCs/>
                <w:kern w:val="0"/>
                <w:sz w:val="24"/>
                <w:highlight w:val="none"/>
              </w:rPr>
              <w:t>□太阳能光热；□太阳能光伏；□热电联产CHP；□风力发电；</w:t>
            </w:r>
          </w:p>
          <w:p>
            <w:pPr>
              <w:pageBreakBefore w:val="0"/>
              <w:kinsoku/>
              <w:overflowPunct/>
              <w:topLinePunct w:val="0"/>
              <w:bidi w:val="0"/>
              <w:snapToGrid w:val="0"/>
              <w:spacing w:line="560" w:lineRule="exact"/>
              <w:jc w:val="both"/>
              <w:rPr>
                <w:rFonts w:ascii="仿宋_GB2312" w:hAnsi="仿宋_GB2312" w:eastAsia="仿宋_GB2312" w:cs="仿宋_GB2312"/>
                <w:sz w:val="20"/>
                <w:highlight w:val="none"/>
              </w:rPr>
            </w:pPr>
            <w:r>
              <w:rPr>
                <w:rFonts w:hint="eastAsia" w:ascii="仿宋_GB2312" w:hAnsi="Calibri" w:eastAsia="仿宋_GB2312"/>
                <w:bCs/>
                <w:kern w:val="0"/>
                <w:sz w:val="24"/>
                <w:highlight w:val="none"/>
                <w:lang w:eastAsia="zh-CN"/>
              </w:rPr>
              <w:t>□</w:t>
            </w:r>
            <w:r>
              <w:rPr>
                <w:rFonts w:hint="eastAsia" w:ascii="仿宋_GB2312" w:hAnsi="Calibri" w:eastAsia="仿宋_GB2312"/>
                <w:bCs/>
                <w:kern w:val="0"/>
                <w:sz w:val="24"/>
                <w:highlight w:val="none"/>
              </w:rPr>
              <w:t>空气源热泵；□生物质锅炉；□其他</w:t>
            </w:r>
            <w:r>
              <w:rPr>
                <w:rFonts w:hint="eastAsia" w:ascii="仿宋_GB2312" w:eastAsia="仿宋_GB2312"/>
                <w:sz w:val="24"/>
                <w:highlight w:val="none"/>
                <w:u w:val="single"/>
              </w:rPr>
              <w:t xml:space="preserve">      </w:t>
            </w:r>
            <w:r>
              <w:rPr>
                <w:rFonts w:hint="eastAsia" w:ascii="仿宋_GB2312" w:hAnsi="Calibri" w:eastAsia="仿宋_GB2312"/>
                <w:bCs/>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238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eastAsia="仿宋_GB2312"/>
                <w:sz w:val="24"/>
                <w:highlight w:val="none"/>
              </w:rPr>
            </w:pPr>
            <w:r>
              <w:rPr>
                <w:rFonts w:hint="eastAsia" w:ascii="仿宋_GB2312" w:eastAsia="仿宋_GB2312"/>
                <w:sz w:val="24"/>
                <w:highlight w:val="none"/>
              </w:rPr>
              <w:t>可再生能源应用</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eastAsia="仿宋_GB2312"/>
                <w:sz w:val="24"/>
                <w:highlight w:val="none"/>
              </w:rPr>
              <w:t>总量（kWh）</w:t>
            </w:r>
          </w:p>
        </w:tc>
        <w:tc>
          <w:tcPr>
            <w:tcW w:w="2046"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p>
        </w:tc>
        <w:tc>
          <w:tcPr>
            <w:tcW w:w="2345"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建筑单位面积能耗</w:t>
            </w:r>
            <w:r>
              <w:rPr>
                <w:rFonts w:hint="eastAsia" w:ascii="仿宋_GB2312" w:eastAsia="仿宋_GB2312"/>
                <w:sz w:val="24"/>
                <w:highlight w:val="none"/>
              </w:rPr>
              <w:t>（kWh/㎡</w:t>
            </w:r>
            <w:r>
              <w:rPr>
                <w:rFonts w:hint="eastAsia" w:ascii="仿宋_GB2312" w:eastAsia="仿宋_GB2312"/>
                <w:bCs/>
                <w:kern w:val="0"/>
                <w:sz w:val="24"/>
                <w:highlight w:val="none"/>
              </w:rPr>
              <w:t>·</w:t>
            </w:r>
            <w:r>
              <w:rPr>
                <w:rFonts w:hint="eastAsia" w:ascii="仿宋_GB2312" w:eastAsia="仿宋_GB2312"/>
                <w:sz w:val="24"/>
                <w:highlight w:val="none"/>
              </w:rPr>
              <w:t>a）</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238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仿宋_GB2312" w:eastAsia="仿宋_GB2312"/>
                <w:sz w:val="24"/>
                <w:highlight w:val="none"/>
                <w:lang w:val="en-US" w:eastAsia="zh-CN"/>
              </w:rPr>
            </w:pPr>
            <w:r>
              <w:rPr>
                <w:rFonts w:hint="default" w:ascii="仿宋_GB2312" w:eastAsia="仿宋_GB2312"/>
                <w:color w:val="000000"/>
                <w:sz w:val="24"/>
                <w:szCs w:val="24"/>
                <w:highlight w:val="none"/>
                <w:lang w:val="en-US" w:eastAsia="zh-CN"/>
              </w:rPr>
              <w:t>可再生能源系统年减碳量</w:t>
            </w:r>
            <w:r>
              <w:rPr>
                <w:rFonts w:hint="eastAsia" w:ascii="仿宋_GB2312" w:eastAsia="仿宋_GB2312"/>
                <w:bCs/>
                <w:color w:val="000000"/>
                <w:kern w:val="0"/>
                <w:sz w:val="24"/>
                <w:szCs w:val="24"/>
                <w:highlight w:val="none"/>
              </w:rPr>
              <w:t>（k</w:t>
            </w:r>
            <w:r>
              <w:rPr>
                <w:rFonts w:hint="eastAsia" w:ascii="仿宋_GB2312" w:eastAsia="仿宋_GB2312"/>
                <w:bCs/>
                <w:color w:val="000000"/>
                <w:kern w:val="0"/>
                <w:sz w:val="24"/>
                <w:szCs w:val="24"/>
                <w:highlight w:val="none"/>
                <w:lang w:val="en-US" w:eastAsia="zh-CN"/>
              </w:rPr>
              <w:t>gCO</w:t>
            </w:r>
            <w:r>
              <w:rPr>
                <w:rFonts w:hint="eastAsia" w:ascii="仿宋_GB2312" w:eastAsia="仿宋_GB2312"/>
                <w:bCs/>
                <w:color w:val="000000"/>
                <w:kern w:val="0"/>
                <w:sz w:val="24"/>
                <w:szCs w:val="24"/>
                <w:highlight w:val="none"/>
                <w:vertAlign w:val="subscript"/>
                <w:lang w:val="en-US" w:eastAsia="zh-CN"/>
              </w:rPr>
              <w:t>2</w:t>
            </w:r>
            <w:r>
              <w:rPr>
                <w:rFonts w:hint="eastAsia" w:ascii="仿宋_GB2312" w:eastAsia="仿宋_GB2312"/>
                <w:bCs/>
                <w:color w:val="000000"/>
                <w:kern w:val="0"/>
                <w:sz w:val="24"/>
                <w:szCs w:val="24"/>
                <w:highlight w:val="none"/>
              </w:rPr>
              <w:t>/a）</w:t>
            </w:r>
          </w:p>
        </w:tc>
        <w:tc>
          <w:tcPr>
            <w:tcW w:w="2046"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p>
        </w:tc>
        <w:tc>
          <w:tcPr>
            <w:tcW w:w="2345"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建筑运行碳排放量</w:t>
            </w:r>
          </w:p>
          <w:p>
            <w:pPr>
              <w:pageBreakBefore w:val="0"/>
              <w:kinsoku/>
              <w:overflowPunct/>
              <w:topLinePunct w:val="0"/>
              <w:bidi w:val="0"/>
              <w:snapToGrid w:val="0"/>
              <w:spacing w:line="560" w:lineRule="exact"/>
              <w:jc w:val="center"/>
              <w:rPr>
                <w:rFonts w:hint="eastAsia" w:ascii="仿宋_GB2312" w:eastAsia="仿宋_GB2312"/>
                <w:sz w:val="24"/>
                <w:highlight w:val="none"/>
              </w:rPr>
            </w:pPr>
            <w:r>
              <w:rPr>
                <w:rFonts w:hint="eastAsia" w:ascii="仿宋_GB2312" w:eastAsia="仿宋_GB2312"/>
                <w:sz w:val="24"/>
                <w:highlight w:val="none"/>
                <w:lang w:val="en-US" w:eastAsia="zh-CN"/>
              </w:rPr>
              <w:t>（kg</w:t>
            </w:r>
            <w:r>
              <w:rPr>
                <w:rFonts w:hint="eastAsia" w:ascii="仿宋_GB2312" w:eastAsia="仿宋_GB2312"/>
                <w:bCs/>
                <w:color w:val="000000"/>
                <w:kern w:val="0"/>
                <w:sz w:val="24"/>
                <w:szCs w:val="24"/>
                <w:highlight w:val="none"/>
                <w:lang w:val="en-US" w:eastAsia="zh-CN"/>
              </w:rPr>
              <w:t>CO</w:t>
            </w:r>
            <w:r>
              <w:rPr>
                <w:rFonts w:hint="eastAsia" w:ascii="仿宋_GB2312" w:eastAsia="仿宋_GB2312"/>
                <w:bCs/>
                <w:color w:val="000000"/>
                <w:kern w:val="0"/>
                <w:sz w:val="24"/>
                <w:szCs w:val="24"/>
                <w:highlight w:val="none"/>
                <w:vertAlign w:val="subscript"/>
                <w:lang w:val="en-US" w:eastAsia="zh-CN"/>
              </w:rPr>
              <w:t>2</w:t>
            </w:r>
            <w:r>
              <w:rPr>
                <w:rFonts w:hint="eastAsia" w:ascii="仿宋_GB2312" w:eastAsia="仿宋_GB2312"/>
                <w:sz w:val="24"/>
                <w:highlight w:val="none"/>
              </w:rPr>
              <w:t>/a</w:t>
            </w:r>
            <w:r>
              <w:rPr>
                <w:rFonts w:hint="eastAsia" w:ascii="仿宋_GB2312" w:eastAsia="仿宋_GB2312"/>
                <w:sz w:val="24"/>
                <w:highlight w:val="none"/>
                <w:lang w:val="en-US" w:eastAsia="zh-CN"/>
              </w:rPr>
              <w:t>）</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695" w:hRule="atLeast"/>
          <w:jc w:val="center"/>
        </w:trPr>
        <w:tc>
          <w:tcPr>
            <w:tcW w:w="4429"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sz w:val="24"/>
                <w:highlight w:val="none"/>
                <w:lang w:val="en-US" w:eastAsia="zh-CN"/>
              </w:rPr>
              <w:t>项目获得国家、地方高星级绿色建筑标识</w:t>
            </w:r>
          </w:p>
        </w:tc>
        <w:tc>
          <w:tcPr>
            <w:tcW w:w="4471"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695" w:hRule="atLeast"/>
          <w:jc w:val="center"/>
        </w:trPr>
        <w:tc>
          <w:tcPr>
            <w:tcW w:w="4429"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lang w:val="en"/>
              </w:rPr>
              <w:t>纳入本市及以上住房建设</w:t>
            </w:r>
            <w:r>
              <w:rPr>
                <w:rFonts w:hint="eastAsia" w:ascii="仿宋_GB2312" w:hAnsi="仿宋_GB2312" w:eastAsia="仿宋_GB2312" w:cs="仿宋_GB2312"/>
                <w:sz w:val="24"/>
                <w:highlight w:val="none"/>
                <w:lang w:val="en" w:eastAsia="zh-CN"/>
              </w:rPr>
              <w:t>行政</w:t>
            </w:r>
            <w:r>
              <w:rPr>
                <w:rFonts w:hint="eastAsia" w:ascii="仿宋_GB2312" w:hAnsi="仿宋_GB2312" w:eastAsia="仿宋_GB2312" w:cs="仿宋_GB2312"/>
                <w:sz w:val="24"/>
                <w:highlight w:val="none"/>
                <w:lang w:val="en"/>
              </w:rPr>
              <w:t>主管部门</w:t>
            </w:r>
            <w:r>
              <w:rPr>
                <w:rFonts w:hint="eastAsia" w:ascii="仿宋_GB2312" w:hAnsi="仿宋_GB2312" w:eastAsia="仿宋_GB2312" w:cs="仿宋_GB2312"/>
                <w:sz w:val="24"/>
                <w:highlight w:val="none"/>
                <w:lang w:val="en" w:eastAsia="zh-CN"/>
              </w:rPr>
              <w:t>发布的</w:t>
            </w:r>
            <w:r>
              <w:rPr>
                <w:rFonts w:hint="eastAsia" w:ascii="仿宋_GB2312" w:hAnsi="仿宋_GB2312" w:eastAsia="仿宋_GB2312" w:cs="仿宋_GB2312"/>
                <w:sz w:val="24"/>
                <w:highlight w:val="none"/>
                <w:lang w:val="en"/>
              </w:rPr>
              <w:t>建筑光伏一体化（BIPV）和“光储直柔”建筑试点项目清单，并通过验收</w:t>
            </w:r>
          </w:p>
        </w:tc>
        <w:tc>
          <w:tcPr>
            <w:tcW w:w="4471"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695" w:hRule="atLeast"/>
          <w:jc w:val="center"/>
        </w:trPr>
        <w:tc>
          <w:tcPr>
            <w:tcW w:w="4429"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项目纳入本市及以上住房建设行政主管部门发布的建设科技计划清单，并通过验收</w:t>
            </w:r>
          </w:p>
        </w:tc>
        <w:tc>
          <w:tcPr>
            <w:tcW w:w="4471"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695" w:hRule="atLeast"/>
          <w:jc w:val="center"/>
        </w:trPr>
        <w:tc>
          <w:tcPr>
            <w:tcW w:w="4429"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符合国家产业政策和工程建设行业发展方向</w:t>
            </w:r>
          </w:p>
        </w:tc>
        <w:tc>
          <w:tcPr>
            <w:tcW w:w="4471"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695" w:hRule="atLeast"/>
          <w:jc w:val="center"/>
        </w:trPr>
        <w:tc>
          <w:tcPr>
            <w:tcW w:w="4429"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能够促进工程建设领域绿色创新发展，具有较好的社会、环境和经济效益，能够发挥良好示范意义和较强带动作用</w:t>
            </w:r>
          </w:p>
        </w:tc>
        <w:tc>
          <w:tcPr>
            <w:tcW w:w="4471"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资金申报</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689"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8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b/>
                <w:bCs/>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建设单位</w:t>
            </w:r>
          </w:p>
        </w:tc>
        <w:tc>
          <w:tcPr>
            <w:tcW w:w="4388"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689"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设计单位</w:t>
            </w:r>
          </w:p>
        </w:tc>
        <w:tc>
          <w:tcPr>
            <w:tcW w:w="4388" w:type="dxa"/>
            <w:gridSpan w:val="12"/>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5"/>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1671" w:type="dxa"/>
            <w:gridSpan w:val="2"/>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689"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施工单位</w:t>
            </w:r>
          </w:p>
        </w:tc>
        <w:tc>
          <w:tcPr>
            <w:tcW w:w="4388"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689"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pacing w:val="-10"/>
                <w:sz w:val="24"/>
                <w:highlight w:val="none"/>
              </w:rPr>
              <w:t>咨询单位</w:t>
            </w:r>
          </w:p>
        </w:tc>
        <w:tc>
          <w:tcPr>
            <w:tcW w:w="4388"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0"/>
                <w:highlight w:val="none"/>
              </w:rPr>
            </w:pPr>
            <w:r>
              <w:rPr>
                <w:rFonts w:hint="eastAsia" w:ascii="仿宋_GB2312" w:hAnsi="仿宋_GB2312" w:eastAsia="仿宋_GB2312" w:cs="仿宋_GB2312"/>
                <w:sz w:val="20"/>
                <w:highlight w:val="none"/>
              </w:rPr>
              <w:t>（若无，可不填写）</w:t>
            </w: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z w:val="24"/>
                <w:highlight w:val="none"/>
              </w:rPr>
              <w:t>联系人</w:t>
            </w:r>
          </w:p>
        </w:tc>
        <w:tc>
          <w:tcPr>
            <w:tcW w:w="1689"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pacing w:val="-10"/>
                <w:sz w:val="24"/>
                <w:highlight w:val="none"/>
              </w:rPr>
              <w:t>物业管理单位</w:t>
            </w:r>
          </w:p>
        </w:tc>
        <w:tc>
          <w:tcPr>
            <w:tcW w:w="4388"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z w:val="24"/>
                <w:highlight w:val="none"/>
              </w:rPr>
              <w:t>联系人</w:t>
            </w:r>
          </w:p>
        </w:tc>
        <w:tc>
          <w:tcPr>
            <w:tcW w:w="1689"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13"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r>
              <w:rPr>
                <w:rFonts w:hint="eastAsia" w:ascii="仿宋_GB2312" w:hAnsi="仿宋_GB2312" w:eastAsia="仿宋_GB2312" w:cs="仿宋_GB2312"/>
                <w:b/>
                <w:sz w:val="24"/>
                <w:highlight w:val="none"/>
              </w:rPr>
              <w:t>工程概况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（项目名称、建设地点、项目性质、结构形式、建设规模及内容、项目工艺方案、总平面布置、工程投资等主要经济技术指标、项目建设完成情况、开发与建设周期等。）</w:t>
            </w:r>
          </w:p>
          <w:p>
            <w:pPr>
              <w:pStyle w:val="7"/>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0" w:type="dxa"/>
            <w:gridSpan w:val="21"/>
            <w:tcBorders>
              <w:top w:val="single" w:color="auto" w:sz="4" w:space="0"/>
              <w:left w:val="single" w:color="auto" w:sz="4" w:space="0"/>
              <w:right w:val="single" w:color="auto" w:sz="4" w:space="0"/>
            </w:tcBorders>
            <w:vAlign w:val="center"/>
          </w:tcPr>
          <w:p>
            <w:pPr>
              <w:pStyle w:val="7"/>
              <w:pageBreakBefore w:val="0"/>
              <w:kinsoku/>
              <w:overflowPunct/>
              <w:topLinePunct w:val="0"/>
              <w:bidi w:val="0"/>
              <w:adjustRightInd w:val="0"/>
              <w:snapToGrid w:val="0"/>
              <w:spacing w:line="56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b/>
                <w:sz w:val="24"/>
                <w:highlight w:val="none"/>
              </w:rPr>
              <w:t>三、</w:t>
            </w:r>
            <w:r>
              <w:rPr>
                <w:rFonts w:hint="eastAsia" w:ascii="仿宋_GB2312" w:hAnsi="仿宋_GB2312" w:eastAsia="仿宋_GB2312" w:cs="仿宋_GB2312"/>
                <w:b/>
                <w:sz w:val="24"/>
                <w:highlight w:val="none"/>
                <w:lang w:val="en-US" w:eastAsia="zh-CN"/>
              </w:rPr>
              <w:t>增量成本计算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900" w:type="dxa"/>
            <w:gridSpan w:val="21"/>
            <w:noWrap w:val="0"/>
            <w:vAlign w:val="center"/>
          </w:tcPr>
          <w:p>
            <w:pPr>
              <w:widowControl/>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项目总投资（万元）：</w:t>
            </w:r>
          </w:p>
          <w:p>
            <w:pPr>
              <w:widowControl/>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为实现</w:t>
            </w:r>
            <w:r>
              <w:rPr>
                <w:rFonts w:hint="eastAsia" w:ascii="仿宋_GB2312" w:hAnsi="仿宋_GB2312" w:eastAsia="仿宋_GB2312" w:cs="仿宋_GB2312"/>
                <w:b/>
                <w:bCs/>
                <w:sz w:val="24"/>
                <w:szCs w:val="24"/>
                <w:lang w:val="en-US" w:eastAsia="zh-CN"/>
              </w:rPr>
              <w:t>超低能耗</w:t>
            </w:r>
            <w:r>
              <w:rPr>
                <w:rFonts w:hint="eastAsia" w:ascii="仿宋_GB2312" w:hAnsi="仿宋_GB2312" w:eastAsia="仿宋_GB2312" w:cs="仿宋_GB2312"/>
                <w:b/>
                <w:bCs/>
                <w:sz w:val="24"/>
                <w:szCs w:val="24"/>
              </w:rPr>
              <w:t>而增加的初投资成本（万元）：</w:t>
            </w:r>
          </w:p>
          <w:p>
            <w:pPr>
              <w:widowControl/>
              <w:rPr>
                <w:rFonts w:hint="eastAsia" w:ascii="仿宋_GB2312" w:hAnsi="仿宋_GB2312" w:eastAsia="仿宋_GB2312" w:cs="仿宋_GB2312"/>
                <w:b/>
                <w:bCs/>
                <w:sz w:val="28"/>
                <w:szCs w:val="28"/>
              </w:rPr>
            </w:pPr>
            <w:r>
              <w:rPr>
                <w:rFonts w:hint="eastAsia" w:ascii="仿宋_GB2312" w:hAnsi="仿宋_GB2312" w:eastAsia="仿宋_GB2312" w:cs="仿宋_GB2312"/>
                <w:b/>
                <w:bCs/>
                <w:sz w:val="24"/>
                <w:szCs w:val="24"/>
              </w:rPr>
              <w:t>单位面积增量成本（元/平方米）：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486" w:type="dxa"/>
            <w:gridSpan w:val="9"/>
            <w:noWrap w:val="0"/>
            <w:vAlign w:val="center"/>
          </w:tcPr>
          <w:p>
            <w:pPr>
              <w:snapToGrid w:val="0"/>
              <w:jc w:val="center"/>
              <w:rPr>
                <w:rFonts w:hint="default" w:ascii="仿宋_GB2312" w:hAnsi="仿宋_GB2312" w:eastAsia="仿宋_GB2312" w:cs="仿宋_GB2312"/>
                <w:b/>
                <w:bCs/>
                <w:sz w:val="24"/>
                <w:szCs w:val="24"/>
                <w:lang w:val="en"/>
              </w:rPr>
            </w:pPr>
            <w:r>
              <w:rPr>
                <w:rFonts w:hint="eastAsia" w:ascii="仿宋_GB2312" w:hAnsi="仿宋_GB2312" w:eastAsia="仿宋_GB2312" w:cs="仿宋_GB2312"/>
                <w:b/>
                <w:bCs/>
                <w:sz w:val="24"/>
                <w:szCs w:val="24"/>
              </w:rPr>
              <w:t>实现</w:t>
            </w:r>
            <w:r>
              <w:rPr>
                <w:rFonts w:hint="eastAsia" w:ascii="仿宋_GB2312" w:hAnsi="仿宋_GB2312" w:eastAsia="仿宋_GB2312" w:cs="仿宋_GB2312"/>
                <w:b/>
                <w:bCs/>
                <w:sz w:val="24"/>
                <w:szCs w:val="24"/>
                <w:lang w:val="en-US" w:eastAsia="zh-CN"/>
              </w:rPr>
              <w:t>超低能耗建筑</w:t>
            </w:r>
          </w:p>
          <w:p>
            <w:pPr>
              <w:snapToGrid w:val="0"/>
              <w:jc w:val="center"/>
              <w:rPr>
                <w:rFonts w:ascii="仿宋" w:hAnsi="仿宋" w:eastAsia="仿宋"/>
                <w:sz w:val="28"/>
                <w:szCs w:val="28"/>
              </w:rPr>
            </w:pPr>
            <w:r>
              <w:rPr>
                <w:rFonts w:hint="eastAsia" w:ascii="仿宋_GB2312" w:hAnsi="仿宋_GB2312" w:eastAsia="仿宋_GB2312" w:cs="仿宋_GB2312"/>
                <w:b/>
                <w:bCs/>
                <w:sz w:val="24"/>
                <w:szCs w:val="24"/>
              </w:rPr>
              <w:t>采</w:t>
            </w:r>
            <w:r>
              <w:rPr>
                <w:rFonts w:hint="eastAsia" w:ascii="仿宋_GB2312" w:hAnsi="仿宋_GB2312" w:eastAsia="仿宋_GB2312" w:cs="仿宋_GB2312"/>
                <w:b/>
                <w:bCs/>
                <w:sz w:val="24"/>
                <w:szCs w:val="24"/>
                <w:lang w:eastAsia="zh-CN"/>
              </w:rPr>
              <w:t>用</w:t>
            </w:r>
            <w:r>
              <w:rPr>
                <w:rFonts w:hint="eastAsia" w:ascii="仿宋_GB2312" w:hAnsi="仿宋_GB2312" w:eastAsia="仿宋_GB2312" w:cs="仿宋_GB2312"/>
                <w:b/>
                <w:bCs/>
                <w:sz w:val="24"/>
                <w:szCs w:val="24"/>
              </w:rPr>
              <w:t>的措施</w:t>
            </w:r>
          </w:p>
        </w:tc>
        <w:tc>
          <w:tcPr>
            <w:tcW w:w="3276" w:type="dxa"/>
            <w:gridSpan w:val="8"/>
            <w:noWrap w:val="0"/>
            <w:vAlign w:val="center"/>
          </w:tcPr>
          <w:p>
            <w:pPr>
              <w:snapToGrid w:val="0"/>
              <w:jc w:val="center"/>
              <w:rPr>
                <w:rFonts w:ascii="仿宋" w:hAnsi="仿宋" w:eastAsia="仿宋"/>
                <w:sz w:val="28"/>
                <w:szCs w:val="28"/>
              </w:rPr>
            </w:pPr>
            <w:r>
              <w:rPr>
                <w:rFonts w:hint="eastAsia" w:ascii="仿宋_GB2312" w:hAnsi="仿宋_GB2312" w:eastAsia="仿宋_GB2312" w:cs="仿宋_GB2312"/>
                <w:b/>
                <w:bCs/>
                <w:sz w:val="24"/>
                <w:szCs w:val="24"/>
              </w:rPr>
              <w:t>标准</w:t>
            </w:r>
            <w:r>
              <w:rPr>
                <w:rFonts w:hint="eastAsia" w:ascii="仿宋_GB2312" w:hAnsi="仿宋_GB2312" w:eastAsia="仿宋_GB2312" w:cs="仿宋_GB2312"/>
                <w:b/>
                <w:bCs/>
                <w:sz w:val="24"/>
                <w:szCs w:val="24"/>
                <w:lang w:val="en-US" w:eastAsia="zh-CN"/>
              </w:rPr>
              <w:t>建筑</w:t>
            </w:r>
            <w:r>
              <w:rPr>
                <w:rFonts w:hint="default" w:ascii="仿宋_GB2312" w:hAnsi="仿宋_GB2312" w:eastAsia="仿宋_GB2312" w:cs="仿宋_GB2312"/>
                <w:b/>
                <w:bCs/>
                <w:sz w:val="24"/>
                <w:szCs w:val="24"/>
                <w:lang w:val="en"/>
              </w:rPr>
              <w:t>工程</w:t>
            </w:r>
            <w:r>
              <w:rPr>
                <w:rFonts w:hint="eastAsia" w:ascii="仿宋_GB2312" w:hAnsi="仿宋_GB2312" w:eastAsia="仿宋_GB2312" w:cs="仿宋_GB2312"/>
                <w:b/>
                <w:bCs/>
                <w:sz w:val="24"/>
                <w:szCs w:val="24"/>
              </w:rPr>
              <w:t>采用常规措施</w:t>
            </w:r>
          </w:p>
        </w:tc>
        <w:tc>
          <w:tcPr>
            <w:tcW w:w="1245" w:type="dxa"/>
            <w:gridSpan w:val="3"/>
            <w:vMerge w:val="restart"/>
            <w:noWrap w:val="0"/>
            <w:vAlign w:val="center"/>
          </w:tcPr>
          <w:p>
            <w:pPr>
              <w:snapToGrid w:val="0"/>
              <w:jc w:val="center"/>
              <w:rPr>
                <w:rFonts w:ascii="仿宋" w:hAnsi="仿宋" w:eastAsia="仿宋"/>
                <w:sz w:val="28"/>
                <w:szCs w:val="28"/>
              </w:rPr>
            </w:pPr>
            <w:r>
              <w:rPr>
                <w:rFonts w:hint="eastAsia" w:ascii="仿宋_GB2312" w:hAnsi="仿宋_GB2312" w:eastAsia="仿宋_GB2312" w:cs="仿宋_GB2312"/>
                <w:b/>
                <w:bCs/>
                <w:sz w:val="24"/>
                <w:szCs w:val="24"/>
              </w:rPr>
              <w:t>增量成本</w:t>
            </w:r>
          </w:p>
        </w:tc>
        <w:tc>
          <w:tcPr>
            <w:tcW w:w="893" w:type="dxa"/>
            <w:vMerge w:val="restart"/>
            <w:noWrap w:val="0"/>
            <w:vAlign w:val="center"/>
          </w:tcPr>
          <w:p>
            <w:pPr>
              <w:snapToGrid w:val="0"/>
              <w:jc w:val="center"/>
              <w:rPr>
                <w:rFonts w:ascii="仿宋" w:hAnsi="仿宋" w:eastAsia="仿宋"/>
                <w:sz w:val="28"/>
                <w:szCs w:val="28"/>
              </w:rPr>
            </w:pPr>
            <w:r>
              <w:rPr>
                <w:rFonts w:hint="eastAsia" w:ascii="仿宋_GB2312" w:hAnsi="仿宋_GB2312" w:eastAsia="仿宋_GB2312" w:cs="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03" w:type="dxa"/>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名称</w:t>
            </w:r>
          </w:p>
        </w:tc>
        <w:tc>
          <w:tcPr>
            <w:tcW w:w="819" w:type="dxa"/>
            <w:gridSpan w:val="3"/>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单价</w:t>
            </w:r>
          </w:p>
        </w:tc>
        <w:tc>
          <w:tcPr>
            <w:tcW w:w="1464" w:type="dxa"/>
            <w:gridSpan w:val="5"/>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应用量</w:t>
            </w:r>
          </w:p>
        </w:tc>
        <w:tc>
          <w:tcPr>
            <w:tcW w:w="946" w:type="dxa"/>
            <w:gridSpan w:val="3"/>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名称</w:t>
            </w:r>
          </w:p>
        </w:tc>
        <w:tc>
          <w:tcPr>
            <w:tcW w:w="1024" w:type="dxa"/>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单价</w:t>
            </w:r>
          </w:p>
        </w:tc>
        <w:tc>
          <w:tcPr>
            <w:tcW w:w="1306" w:type="dxa"/>
            <w:gridSpan w:val="4"/>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应用量</w:t>
            </w:r>
          </w:p>
        </w:tc>
        <w:tc>
          <w:tcPr>
            <w:tcW w:w="1245" w:type="dxa"/>
            <w:gridSpan w:val="3"/>
            <w:vMerge w:val="continue"/>
            <w:noWrap w:val="0"/>
            <w:vAlign w:val="center"/>
          </w:tcPr>
          <w:p>
            <w:pPr>
              <w:snapToGrid w:val="0"/>
              <w:jc w:val="center"/>
              <w:rPr>
                <w:rFonts w:ascii="仿宋" w:hAnsi="仿宋" w:eastAsia="仿宋"/>
                <w:sz w:val="24"/>
              </w:rPr>
            </w:pPr>
          </w:p>
        </w:tc>
        <w:tc>
          <w:tcPr>
            <w:tcW w:w="893" w:type="dxa"/>
            <w:vMerge w:val="continue"/>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03"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3"/>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4"/>
            <w:noWrap w:val="0"/>
            <w:vAlign w:val="center"/>
          </w:tcPr>
          <w:p>
            <w:pPr>
              <w:snapToGrid w:val="0"/>
              <w:jc w:val="center"/>
              <w:rPr>
                <w:rFonts w:ascii="仿宋" w:hAnsi="仿宋" w:eastAsia="仿宋"/>
                <w:sz w:val="24"/>
              </w:rPr>
            </w:pPr>
          </w:p>
        </w:tc>
        <w:tc>
          <w:tcPr>
            <w:tcW w:w="1245" w:type="dxa"/>
            <w:gridSpan w:val="3"/>
            <w:noWrap w:val="0"/>
            <w:vAlign w:val="center"/>
          </w:tcPr>
          <w:p>
            <w:pPr>
              <w:snapToGrid w:val="0"/>
              <w:jc w:val="center"/>
              <w:rPr>
                <w:rFonts w:ascii="仿宋" w:hAnsi="仿宋" w:eastAsia="仿宋"/>
                <w:sz w:val="24"/>
              </w:rPr>
            </w:pPr>
          </w:p>
        </w:tc>
        <w:tc>
          <w:tcPr>
            <w:tcW w:w="893"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03"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3"/>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4"/>
            <w:noWrap w:val="0"/>
            <w:vAlign w:val="center"/>
          </w:tcPr>
          <w:p>
            <w:pPr>
              <w:snapToGrid w:val="0"/>
              <w:jc w:val="center"/>
              <w:rPr>
                <w:rFonts w:ascii="仿宋" w:hAnsi="仿宋" w:eastAsia="仿宋"/>
                <w:sz w:val="24"/>
              </w:rPr>
            </w:pPr>
          </w:p>
        </w:tc>
        <w:tc>
          <w:tcPr>
            <w:tcW w:w="1245" w:type="dxa"/>
            <w:gridSpan w:val="3"/>
            <w:noWrap w:val="0"/>
            <w:vAlign w:val="center"/>
          </w:tcPr>
          <w:p>
            <w:pPr>
              <w:snapToGrid w:val="0"/>
              <w:jc w:val="center"/>
              <w:rPr>
                <w:rFonts w:ascii="仿宋" w:hAnsi="仿宋" w:eastAsia="仿宋"/>
                <w:sz w:val="24"/>
              </w:rPr>
            </w:pPr>
          </w:p>
        </w:tc>
        <w:tc>
          <w:tcPr>
            <w:tcW w:w="893"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03"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3"/>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4"/>
            <w:noWrap w:val="0"/>
            <w:vAlign w:val="center"/>
          </w:tcPr>
          <w:p>
            <w:pPr>
              <w:snapToGrid w:val="0"/>
              <w:jc w:val="center"/>
              <w:rPr>
                <w:rFonts w:ascii="仿宋" w:hAnsi="仿宋" w:eastAsia="仿宋"/>
                <w:sz w:val="24"/>
              </w:rPr>
            </w:pPr>
          </w:p>
        </w:tc>
        <w:tc>
          <w:tcPr>
            <w:tcW w:w="1245" w:type="dxa"/>
            <w:gridSpan w:val="3"/>
            <w:noWrap w:val="0"/>
            <w:vAlign w:val="center"/>
          </w:tcPr>
          <w:p>
            <w:pPr>
              <w:snapToGrid w:val="0"/>
              <w:jc w:val="center"/>
              <w:rPr>
                <w:rFonts w:ascii="仿宋" w:hAnsi="仿宋" w:eastAsia="仿宋"/>
                <w:sz w:val="24"/>
              </w:rPr>
            </w:pPr>
          </w:p>
        </w:tc>
        <w:tc>
          <w:tcPr>
            <w:tcW w:w="893"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03"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3"/>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4"/>
            <w:noWrap w:val="0"/>
            <w:vAlign w:val="center"/>
          </w:tcPr>
          <w:p>
            <w:pPr>
              <w:snapToGrid w:val="0"/>
              <w:jc w:val="center"/>
              <w:rPr>
                <w:rFonts w:ascii="仿宋" w:hAnsi="仿宋" w:eastAsia="仿宋"/>
                <w:sz w:val="24"/>
              </w:rPr>
            </w:pPr>
          </w:p>
        </w:tc>
        <w:tc>
          <w:tcPr>
            <w:tcW w:w="1245" w:type="dxa"/>
            <w:gridSpan w:val="3"/>
            <w:noWrap w:val="0"/>
            <w:vAlign w:val="center"/>
          </w:tcPr>
          <w:p>
            <w:pPr>
              <w:snapToGrid w:val="0"/>
              <w:jc w:val="center"/>
              <w:rPr>
                <w:rFonts w:ascii="仿宋" w:hAnsi="仿宋" w:eastAsia="仿宋"/>
                <w:sz w:val="24"/>
              </w:rPr>
            </w:pPr>
          </w:p>
        </w:tc>
        <w:tc>
          <w:tcPr>
            <w:tcW w:w="893"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03"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3"/>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4"/>
            <w:noWrap w:val="0"/>
            <w:vAlign w:val="center"/>
          </w:tcPr>
          <w:p>
            <w:pPr>
              <w:snapToGrid w:val="0"/>
              <w:jc w:val="center"/>
              <w:rPr>
                <w:rFonts w:ascii="仿宋" w:hAnsi="仿宋" w:eastAsia="仿宋"/>
                <w:sz w:val="24"/>
              </w:rPr>
            </w:pPr>
          </w:p>
        </w:tc>
        <w:tc>
          <w:tcPr>
            <w:tcW w:w="1245" w:type="dxa"/>
            <w:gridSpan w:val="3"/>
            <w:noWrap w:val="0"/>
            <w:vAlign w:val="center"/>
          </w:tcPr>
          <w:p>
            <w:pPr>
              <w:snapToGrid w:val="0"/>
              <w:jc w:val="center"/>
              <w:rPr>
                <w:rFonts w:ascii="仿宋" w:hAnsi="仿宋" w:eastAsia="仿宋"/>
                <w:sz w:val="24"/>
              </w:rPr>
            </w:pPr>
          </w:p>
        </w:tc>
        <w:tc>
          <w:tcPr>
            <w:tcW w:w="893"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03"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3"/>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4"/>
            <w:noWrap w:val="0"/>
            <w:vAlign w:val="center"/>
          </w:tcPr>
          <w:p>
            <w:pPr>
              <w:snapToGrid w:val="0"/>
              <w:jc w:val="center"/>
              <w:rPr>
                <w:rFonts w:ascii="仿宋" w:hAnsi="仿宋" w:eastAsia="仿宋"/>
                <w:sz w:val="24"/>
              </w:rPr>
            </w:pPr>
          </w:p>
        </w:tc>
        <w:tc>
          <w:tcPr>
            <w:tcW w:w="1245" w:type="dxa"/>
            <w:gridSpan w:val="3"/>
            <w:noWrap w:val="0"/>
            <w:vAlign w:val="center"/>
          </w:tcPr>
          <w:p>
            <w:pPr>
              <w:snapToGrid w:val="0"/>
              <w:jc w:val="center"/>
              <w:rPr>
                <w:rFonts w:ascii="仿宋" w:hAnsi="仿宋" w:eastAsia="仿宋"/>
                <w:sz w:val="24"/>
              </w:rPr>
            </w:pPr>
          </w:p>
        </w:tc>
        <w:tc>
          <w:tcPr>
            <w:tcW w:w="893"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03"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3"/>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4"/>
            <w:noWrap w:val="0"/>
            <w:vAlign w:val="center"/>
          </w:tcPr>
          <w:p>
            <w:pPr>
              <w:snapToGrid w:val="0"/>
              <w:jc w:val="center"/>
              <w:rPr>
                <w:rFonts w:ascii="仿宋" w:hAnsi="仿宋" w:eastAsia="仿宋"/>
                <w:sz w:val="24"/>
              </w:rPr>
            </w:pPr>
          </w:p>
        </w:tc>
        <w:tc>
          <w:tcPr>
            <w:tcW w:w="1245" w:type="dxa"/>
            <w:gridSpan w:val="3"/>
            <w:noWrap w:val="0"/>
            <w:vAlign w:val="center"/>
          </w:tcPr>
          <w:p>
            <w:pPr>
              <w:snapToGrid w:val="0"/>
              <w:jc w:val="center"/>
              <w:rPr>
                <w:rFonts w:ascii="仿宋" w:hAnsi="仿宋" w:eastAsia="仿宋"/>
                <w:sz w:val="24"/>
              </w:rPr>
            </w:pPr>
          </w:p>
        </w:tc>
        <w:tc>
          <w:tcPr>
            <w:tcW w:w="893"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762" w:type="dxa"/>
            <w:gridSpan w:val="17"/>
            <w:noWrap w:val="0"/>
            <w:vAlign w:val="center"/>
          </w:tcPr>
          <w:p>
            <w:pPr>
              <w:snapToGrid w:val="0"/>
              <w:jc w:val="center"/>
              <w:rPr>
                <w:rFonts w:ascii="仿宋" w:hAnsi="仿宋" w:eastAsia="仿宋"/>
                <w:sz w:val="24"/>
              </w:rPr>
            </w:pPr>
            <w:r>
              <w:rPr>
                <w:rFonts w:hint="eastAsia" w:ascii="仿宋" w:hAnsi="仿宋" w:eastAsia="仿宋"/>
                <w:b/>
                <w:bCs/>
                <w:sz w:val="24"/>
              </w:rPr>
              <w:t>合计</w:t>
            </w:r>
          </w:p>
        </w:tc>
        <w:tc>
          <w:tcPr>
            <w:tcW w:w="1245" w:type="dxa"/>
            <w:gridSpan w:val="3"/>
            <w:noWrap w:val="0"/>
            <w:vAlign w:val="center"/>
          </w:tcPr>
          <w:p>
            <w:pPr>
              <w:snapToGrid w:val="0"/>
              <w:jc w:val="center"/>
              <w:rPr>
                <w:rFonts w:ascii="仿宋" w:hAnsi="仿宋" w:eastAsia="仿宋"/>
                <w:sz w:val="24"/>
              </w:rPr>
            </w:pPr>
          </w:p>
        </w:tc>
        <w:tc>
          <w:tcPr>
            <w:tcW w:w="893"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900" w:type="dxa"/>
            <w:gridSpan w:val="21"/>
            <w:noWrap w:val="0"/>
            <w:vAlign w:val="center"/>
          </w:tcPr>
          <w:p>
            <w:pPr>
              <w:widowControl/>
              <w:jc w:val="left"/>
              <w:rPr>
                <w:rFonts w:hint="eastAsia" w:ascii="仿宋_GB2312" w:hAnsi="仿宋_GB2312" w:eastAsia="仿宋_GB2312" w:cs="仿宋_GB2312"/>
                <w:sz w:val="24"/>
              </w:rPr>
            </w:pPr>
            <w:r>
              <w:rPr>
                <w:rFonts w:hint="eastAsia" w:ascii="仿宋_GB2312" w:hAnsi="仿宋_GB2312" w:eastAsia="仿宋_GB2312" w:cs="仿宋_GB2312"/>
                <w:b/>
                <w:bCs/>
                <w:sz w:val="24"/>
              </w:rPr>
              <w:t>注：</w:t>
            </w:r>
            <w:r>
              <w:rPr>
                <w:rFonts w:hint="eastAsia" w:ascii="仿宋_GB2312" w:hAnsi="仿宋_GB2312" w:eastAsia="仿宋_GB2312" w:cs="仿宋_GB2312"/>
                <w:kern w:val="2"/>
                <w:sz w:val="24"/>
                <w:szCs w:val="24"/>
                <w:lang w:val="en-US" w:eastAsia="zh-CN" w:bidi="ar-SA"/>
              </w:rPr>
              <w:t>1.成本增量的基准点是满足现行国家或深圳市绿色低碳建筑相关标准要求的“标准建筑”；</w:t>
            </w:r>
          </w:p>
          <w:p>
            <w:pPr>
              <w:pStyle w:val="34"/>
              <w:widowControl/>
              <w:ind w:left="191" w:leftChars="34" w:hanging="120" w:hangingChars="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default" w:ascii="仿宋_GB2312" w:hAnsi="仿宋_GB2312" w:eastAsia="仿宋_GB2312" w:cs="仿宋_GB2312"/>
                <w:sz w:val="24"/>
                <w:szCs w:val="24"/>
                <w:lang w:val="en"/>
              </w:rPr>
              <w:t>2.</w:t>
            </w:r>
            <w:r>
              <w:rPr>
                <w:rFonts w:hint="eastAsia" w:ascii="仿宋_GB2312" w:hAnsi="仿宋_GB2312" w:eastAsia="仿宋_GB2312" w:cs="仿宋_GB2312"/>
                <w:sz w:val="24"/>
                <w:szCs w:val="24"/>
              </w:rPr>
              <w:t>对于部分减少了初投资的技术应用，其增量成本按负数计；</w:t>
            </w:r>
          </w:p>
          <w:p>
            <w:pPr>
              <w:pStyle w:val="34"/>
              <w:widowControl/>
              <w:ind w:left="191" w:leftChars="34" w:hanging="120" w:hangingChars="50"/>
              <w:jc w:val="left"/>
              <w:rPr>
                <w:rFonts w:ascii="仿宋" w:hAnsi="仿宋" w:eastAsia="仿宋"/>
                <w:sz w:val="24"/>
                <w:szCs w:val="24"/>
              </w:rPr>
            </w:pPr>
            <w:r>
              <w:rPr>
                <w:rFonts w:hint="eastAsia" w:ascii="仿宋_GB2312" w:hAnsi="仿宋_GB2312" w:eastAsia="仿宋_GB2312" w:cs="仿宋_GB2312"/>
                <w:sz w:val="24"/>
                <w:szCs w:val="24"/>
              </w:rPr>
              <w:t xml:space="preserve">   </w:t>
            </w:r>
            <w:r>
              <w:rPr>
                <w:rFonts w:hint="default" w:ascii="仿宋_GB2312" w:hAnsi="仿宋_GB2312" w:eastAsia="仿宋_GB2312" w:cs="仿宋_GB2312"/>
                <w:sz w:val="24"/>
                <w:szCs w:val="24"/>
                <w:lang w:val="en"/>
              </w:rPr>
              <w:t>3.</w:t>
            </w:r>
            <w:r>
              <w:rPr>
                <w:rFonts w:hint="eastAsia" w:ascii="仿宋_GB2312" w:hAnsi="仿宋_GB2312" w:eastAsia="仿宋_GB2312" w:cs="仿宋_GB2312"/>
                <w:sz w:val="24"/>
                <w:szCs w:val="24"/>
              </w:rPr>
              <w:t>备注部分填写是否有政府补贴/优惠政策及依据。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仿宋_GB2312" w:hAnsi="仿宋_GB2312" w:eastAsia="仿宋_GB2312" w:cs="仿宋_GB2312"/>
                <w:b/>
                <w:sz w:val="24"/>
                <w:highlight w:val="none"/>
                <w:lang w:val="en-US" w:eastAsia="zh-CN"/>
              </w:rPr>
            </w:pPr>
          </w:p>
          <w:p>
            <w:pPr>
              <w:pStyle w:val="4"/>
              <w:rPr>
                <w:rFonts w:hint="default" w:ascii="仿宋_GB2312" w:hAnsi="仿宋_GB2312" w:eastAsia="仿宋_GB2312" w:cs="仿宋_GB2312"/>
                <w:b/>
                <w:sz w:val="24"/>
                <w:highlight w:val="none"/>
                <w:lang w:val="en-US" w:eastAsia="zh-CN"/>
              </w:rPr>
            </w:pPr>
          </w:p>
          <w:p>
            <w:pPr>
              <w:rPr>
                <w:rFonts w:hint="default" w:ascii="仿宋_GB2312" w:hAnsi="仿宋_GB2312" w:eastAsia="仿宋_GB2312" w:cs="仿宋_GB2312"/>
                <w:b/>
                <w:sz w:val="24"/>
                <w:highlight w:val="none"/>
                <w:lang w:val="en-US" w:eastAsia="zh-CN"/>
              </w:rPr>
            </w:pPr>
          </w:p>
          <w:p>
            <w:pPr>
              <w:pStyle w:val="4"/>
              <w:rPr>
                <w:rFonts w:hint="default" w:ascii="仿宋_GB2312" w:hAnsi="仿宋_GB2312" w:eastAsia="仿宋_GB2312" w:cs="仿宋_GB2312"/>
                <w:b/>
                <w:sz w:val="24"/>
                <w:highlight w:val="none"/>
                <w:lang w:val="en-US" w:eastAsia="zh-CN"/>
              </w:rPr>
            </w:pPr>
          </w:p>
          <w:p>
            <w:pPr>
              <w:rPr>
                <w:rFonts w:hint="default" w:ascii="仿宋_GB2312" w:hAnsi="仿宋_GB2312" w:eastAsia="仿宋_GB2312" w:cs="仿宋_GB2312"/>
                <w:b/>
                <w:sz w:val="24"/>
                <w:highlight w:val="none"/>
                <w:lang w:val="en-US" w:eastAsia="zh-CN"/>
              </w:rPr>
            </w:pPr>
          </w:p>
          <w:p>
            <w:pPr>
              <w:pStyle w:val="4"/>
              <w:rPr>
                <w:rFonts w:hint="default" w:ascii="仿宋_GB2312" w:hAnsi="仿宋_GB2312" w:eastAsia="仿宋_GB2312" w:cs="仿宋_GB2312"/>
                <w:b/>
                <w:sz w:val="24"/>
                <w:highlight w:val="none"/>
                <w:lang w:val="en-US" w:eastAsia="zh-CN"/>
              </w:rPr>
            </w:pPr>
          </w:p>
          <w:p>
            <w:pPr>
              <w:rPr>
                <w:rFonts w:hint="default" w:ascii="仿宋_GB2312" w:hAnsi="仿宋_GB2312" w:eastAsia="仿宋_GB2312" w:cs="仿宋_GB2312"/>
                <w:b/>
                <w:sz w:val="24"/>
                <w:highlight w:val="none"/>
                <w:lang w:val="en-US" w:eastAsia="zh-CN"/>
              </w:rPr>
            </w:pPr>
          </w:p>
          <w:p>
            <w:pPr>
              <w:pStyle w:val="4"/>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val="en-US" w:eastAsia="zh-CN"/>
              </w:rPr>
              <w:t>四</w:t>
            </w:r>
            <w:r>
              <w:rPr>
                <w:rFonts w:hint="eastAsia" w:ascii="仿宋_GB2312" w:hAnsi="仿宋_GB2312" w:eastAsia="仿宋_GB2312" w:cs="仿宋_GB2312"/>
                <w:b/>
                <w:sz w:val="24"/>
                <w:highlight w:val="none"/>
              </w:rPr>
              <w:t>、示范内容简介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adjustRightInd w:val="0"/>
              <w:snapToGrid w:val="0"/>
              <w:spacing w:line="56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rPr>
              <w:t>1、项目</w:t>
            </w:r>
            <w:r>
              <w:rPr>
                <w:rFonts w:hint="eastAsia" w:ascii="仿宋_GB2312" w:hAnsi="仿宋_GB2312" w:eastAsia="仿宋_GB2312" w:cs="仿宋_GB2312"/>
                <w:bCs/>
                <w:sz w:val="24"/>
                <w:szCs w:val="24"/>
                <w:highlight w:val="none"/>
                <w:lang w:val="en-US" w:eastAsia="zh-CN"/>
              </w:rPr>
              <w:t>建筑能耗水平及具备示范的</w:t>
            </w:r>
            <w:r>
              <w:rPr>
                <w:rFonts w:hint="eastAsia" w:ascii="仿宋_GB2312" w:hAnsi="仿宋_GB2312" w:eastAsia="仿宋_GB2312" w:cs="仿宋_GB2312"/>
                <w:bCs/>
                <w:sz w:val="24"/>
                <w:szCs w:val="24"/>
                <w:highlight w:val="none"/>
              </w:rPr>
              <w:t>必要性，300-500字</w:t>
            </w: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both"/>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both"/>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596"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adjustRightInd w:val="0"/>
              <w:snapToGrid w:val="0"/>
              <w:spacing w:line="56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rPr>
              <w:t>2、项目主要降低能耗的</w:t>
            </w:r>
            <w:r>
              <w:rPr>
                <w:rFonts w:hint="eastAsia" w:ascii="仿宋_GB2312" w:hAnsi="仿宋_GB2312" w:eastAsia="仿宋_GB2312" w:cs="仿宋_GB2312"/>
                <w:bCs/>
                <w:sz w:val="24"/>
                <w:szCs w:val="24"/>
                <w:highlight w:val="none"/>
                <w:lang w:val="en-US" w:eastAsia="zh-CN"/>
              </w:rPr>
              <w:t>关键</w:t>
            </w:r>
            <w:r>
              <w:rPr>
                <w:rFonts w:hint="eastAsia" w:ascii="仿宋_GB2312" w:hAnsi="仿宋_GB2312" w:eastAsia="仿宋_GB2312" w:cs="仿宋_GB2312"/>
                <w:bCs/>
                <w:sz w:val="24"/>
                <w:szCs w:val="24"/>
                <w:highlight w:val="none"/>
              </w:rPr>
              <w:t>技术措施，300-500字</w:t>
            </w: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adjustRightInd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3、项目建成或运行概况</w:t>
            </w:r>
            <w:r>
              <w:rPr>
                <w:rFonts w:hint="eastAsia" w:ascii="仿宋_GB2312" w:hAnsi="仿宋_GB2312" w:eastAsia="仿宋_GB2312" w:cs="仿宋_GB2312"/>
                <w:bCs/>
                <w:sz w:val="24"/>
                <w:szCs w:val="24"/>
                <w:highlight w:val="none"/>
              </w:rPr>
              <w:t>，300-500字</w:t>
            </w:r>
            <w:r>
              <w:rPr>
                <w:rFonts w:hint="eastAsia" w:ascii="仿宋_GB2312" w:hAnsi="仿宋_GB2312" w:eastAsia="仿宋_GB2312" w:cs="仿宋_GB2312"/>
                <w:sz w:val="24"/>
                <w:highlight w:val="none"/>
              </w:rPr>
              <w:t>（如</w:t>
            </w:r>
            <w:r>
              <w:rPr>
                <w:rFonts w:hint="eastAsia" w:ascii="仿宋_GB2312" w:hAnsi="仿宋_GB2312" w:eastAsia="仿宋_GB2312" w:cs="仿宋_GB2312"/>
                <w:sz w:val="24"/>
                <w:highlight w:val="none"/>
                <w:lang w:val="en-US" w:eastAsia="zh-CN"/>
              </w:rPr>
              <w:t>设备</w:t>
            </w:r>
            <w:r>
              <w:rPr>
                <w:rFonts w:hint="eastAsia" w:ascii="仿宋_GB2312" w:hAnsi="仿宋_GB2312" w:eastAsia="仿宋_GB2312" w:cs="仿宋_GB2312"/>
                <w:sz w:val="24"/>
                <w:highlight w:val="none"/>
              </w:rPr>
              <w:t>用能情况、可再生能源应用情况等）</w:t>
            </w: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both"/>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both"/>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both"/>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both"/>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both"/>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both"/>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val="en-US" w:eastAsia="zh-CN"/>
              </w:rPr>
              <w:t>五</w:t>
            </w:r>
            <w:r>
              <w:rPr>
                <w:rFonts w:hint="eastAsia" w:ascii="仿宋_GB2312" w:hAnsi="仿宋_GB2312" w:eastAsia="仿宋_GB2312" w:cs="仿宋_GB2312"/>
                <w:b/>
                <w:sz w:val="24"/>
                <w:highlight w:val="none"/>
              </w:rPr>
              <w:t>、项目创新点、推广价值和综合效益分析介绍（可另附页）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63" w:hRule="atLeast"/>
          <w:jc w:val="center"/>
        </w:trPr>
        <w:tc>
          <w:tcPr>
            <w:tcW w:w="8900" w:type="dxa"/>
            <w:gridSpan w:val="21"/>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1、项目创新点</w:t>
            </w:r>
          </w:p>
          <w:p>
            <w:pPr>
              <w:pageBreakBefore w:val="0"/>
              <w:kinsoku/>
              <w:overflowPunct/>
              <w:topLinePunct w:val="0"/>
              <w:bidi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（项目应用超低能耗</w:t>
            </w:r>
            <w:r>
              <w:rPr>
                <w:rFonts w:hint="eastAsia" w:ascii="仿宋_GB2312" w:hAnsi="仿宋_GB2312" w:eastAsia="仿宋_GB2312" w:cs="仿宋_GB2312"/>
                <w:sz w:val="24"/>
                <w:highlight w:val="none"/>
                <w:lang w:val="en-US" w:eastAsia="zh-CN"/>
              </w:rPr>
              <w:t>创新技术及</w:t>
            </w:r>
            <w:r>
              <w:rPr>
                <w:rFonts w:hint="eastAsia" w:ascii="仿宋_GB2312" w:hAnsi="仿宋_GB2312" w:eastAsia="仿宋_GB2312" w:cs="仿宋_GB2312"/>
                <w:sz w:val="24"/>
                <w:highlight w:val="none"/>
              </w:rPr>
              <w:t>特点、在实施及运行过程中的技术创新、技术获奖或申请专利、工法情况等）</w:t>
            </w: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Style w:val="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29" w:hRule="atLeast"/>
          <w:jc w:val="center"/>
        </w:trPr>
        <w:tc>
          <w:tcPr>
            <w:tcW w:w="8900" w:type="dxa"/>
            <w:gridSpan w:val="21"/>
            <w:tcBorders>
              <w:top w:val="single" w:color="auto" w:sz="4" w:space="0"/>
              <w:left w:val="single" w:color="auto" w:sz="4" w:space="0"/>
              <w:bottom w:val="single" w:color="auto" w:sz="4" w:space="0"/>
              <w:right w:val="single" w:color="auto" w:sz="4" w:space="0"/>
            </w:tcBorders>
          </w:tcPr>
          <w:p>
            <w:pPr>
              <w:pageBreakBefore w:val="0"/>
              <w:numPr>
                <w:ilvl w:val="0"/>
                <w:numId w:val="4"/>
              </w:numPr>
              <w:kinsoku/>
              <w:overflowPunct/>
              <w:topLinePunct w:val="0"/>
              <w:bidi w:val="0"/>
              <w:snapToGrid w:val="0"/>
              <w:spacing w:line="56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项目推广价值（即示范意义）</w:t>
            </w: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51" w:hRule="atLeast"/>
          <w:jc w:val="center"/>
        </w:trPr>
        <w:tc>
          <w:tcPr>
            <w:tcW w:w="8900" w:type="dxa"/>
            <w:gridSpan w:val="21"/>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3、综合效益分析</w:t>
            </w:r>
          </w:p>
          <w:p>
            <w:pPr>
              <w:pageBreakBefore w:val="0"/>
              <w:kinsoku/>
              <w:overflowPunct/>
              <w:topLinePunct w:val="0"/>
              <w:bidi w:val="0"/>
              <w:snapToGrid w:val="0"/>
              <w:spacing w:line="5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（包括项目环境效益，经济效益和社会效益情况等）</w:t>
            </w:r>
          </w:p>
          <w:p>
            <w:pPr>
              <w:pStyle w:val="4"/>
              <w:rPr>
                <w:rFonts w:hint="eastAsia" w:ascii="仿宋_GB2312" w:hAnsi="仿宋_GB2312" w:eastAsia="仿宋_GB2312" w:cs="仿宋_GB2312"/>
                <w:sz w:val="24"/>
                <w:highlight w:val="none"/>
              </w:rPr>
            </w:pPr>
          </w:p>
          <w:p>
            <w:pPr>
              <w:rPr>
                <w:rFonts w:hint="eastAsia" w:ascii="仿宋_GB2312" w:hAnsi="仿宋_GB2312" w:eastAsia="仿宋_GB2312" w:cs="仿宋_GB2312"/>
                <w:sz w:val="24"/>
                <w:highlight w:val="none"/>
              </w:rPr>
            </w:pPr>
          </w:p>
          <w:p>
            <w:pPr>
              <w:pStyle w:val="4"/>
              <w:rPr>
                <w:rFonts w:hint="eastAsia" w:ascii="仿宋_GB2312" w:hAnsi="仿宋_GB2312" w:eastAsia="仿宋_GB2312" w:cs="仿宋_GB2312"/>
                <w:sz w:val="24"/>
                <w:highlight w:val="none"/>
              </w:rPr>
            </w:pPr>
          </w:p>
          <w:p>
            <w:pPr>
              <w:rPr>
                <w:rFonts w:hint="eastAsia" w:ascii="仿宋_GB2312" w:hAnsi="仿宋_GB2312" w:eastAsia="仿宋_GB2312" w:cs="仿宋_GB2312"/>
                <w:sz w:val="24"/>
                <w:highlight w:val="none"/>
              </w:rPr>
            </w:pPr>
          </w:p>
          <w:p>
            <w:pPr>
              <w:pStyle w:val="4"/>
              <w:rPr>
                <w:rFonts w:hint="eastAsia" w:ascii="仿宋_GB2312" w:hAnsi="仿宋_GB2312" w:eastAsia="仿宋_GB2312" w:cs="仿宋_GB2312"/>
                <w:sz w:val="24"/>
                <w:highlight w:val="none"/>
              </w:rPr>
            </w:pPr>
          </w:p>
          <w:p>
            <w:pPr>
              <w:rPr>
                <w:rFonts w:hint="eastAsia" w:ascii="仿宋_GB2312" w:hAnsi="仿宋_GB2312" w:eastAsia="仿宋_GB2312" w:cs="仿宋_GB2312"/>
                <w:sz w:val="24"/>
                <w:highlight w:val="none"/>
              </w:rPr>
            </w:pPr>
          </w:p>
          <w:p>
            <w:pPr>
              <w:pStyle w:val="4"/>
              <w:rPr>
                <w:rFonts w:hint="eastAsia" w:ascii="仿宋_GB2312" w:hAnsi="仿宋_GB2312" w:eastAsia="仿宋_GB2312" w:cs="仿宋_GB2312"/>
                <w:sz w:val="24"/>
                <w:highlight w:val="none"/>
              </w:rPr>
            </w:pPr>
          </w:p>
          <w:p>
            <w:pPr>
              <w:rPr>
                <w:rFonts w:hint="eastAsia" w:ascii="仿宋_GB2312" w:hAnsi="仿宋_GB2312" w:eastAsia="仿宋_GB2312" w:cs="仿宋_GB2312"/>
                <w:sz w:val="24"/>
                <w:highlight w:val="none"/>
              </w:rPr>
            </w:pPr>
          </w:p>
          <w:p>
            <w:pPr>
              <w:pStyle w:val="4"/>
              <w:rPr>
                <w:rFonts w:hint="eastAsia" w:ascii="仿宋_GB2312" w:hAnsi="仿宋_GB2312" w:eastAsia="仿宋_GB2312" w:cs="仿宋_GB2312"/>
                <w:sz w:val="24"/>
                <w:highlight w:val="none"/>
              </w:rPr>
            </w:pPr>
          </w:p>
          <w:p>
            <w:pPr>
              <w:rPr>
                <w:rFonts w:hint="eastAsia" w:ascii="仿宋_GB2312" w:hAnsi="仿宋_GB2312" w:eastAsia="仿宋_GB2312" w:cs="仿宋_GB2312"/>
                <w:sz w:val="24"/>
                <w:highlight w:val="none"/>
              </w:rPr>
            </w:pPr>
          </w:p>
          <w:p>
            <w:pPr>
              <w:pStyle w:val="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val="en-US" w:eastAsia="zh-CN"/>
              </w:rPr>
              <w:t>六</w:t>
            </w:r>
            <w:r>
              <w:rPr>
                <w:rFonts w:hint="eastAsia" w:ascii="仿宋_GB2312" w:hAnsi="仿宋_GB2312" w:eastAsia="仿宋_GB2312" w:cs="仿宋_GB2312"/>
                <w:b/>
                <w:sz w:val="24"/>
                <w:highlight w:val="none"/>
              </w:rPr>
              <w:t>、项目绩效目标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项目的产出和效果目标（参照下列格式填报）</w:t>
            </w:r>
          </w:p>
          <w:tbl>
            <w:tblPr>
              <w:tblStyle w:val="14"/>
              <w:tblW w:w="8745" w:type="dxa"/>
              <w:tblInd w:w="0" w:type="dxa"/>
              <w:tblLayout w:type="fixed"/>
              <w:tblCellMar>
                <w:top w:w="0" w:type="dxa"/>
                <w:left w:w="108" w:type="dxa"/>
                <w:bottom w:w="0" w:type="dxa"/>
                <w:right w:w="108" w:type="dxa"/>
              </w:tblCellMar>
            </w:tblPr>
            <w:tblGrid>
              <w:gridCol w:w="2151"/>
              <w:gridCol w:w="4095"/>
              <w:gridCol w:w="2499"/>
            </w:tblGrid>
            <w:tr>
              <w:trPr>
                <w:trHeight w:val="499" w:hRule="atLeast"/>
              </w:trPr>
              <w:tc>
                <w:tcPr>
                  <w:tcW w:w="215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二级目标*</w:t>
                  </w:r>
                </w:p>
              </w:tc>
              <w:tc>
                <w:tcPr>
                  <w:tcW w:w="409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指标内容*</w:t>
                  </w:r>
                </w:p>
              </w:tc>
              <w:tc>
                <w:tcPr>
                  <w:tcW w:w="249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指标目标值*</w:t>
                  </w:r>
                </w:p>
              </w:tc>
            </w:tr>
            <w:tr>
              <w:tblPrEx>
                <w:tblCellMar>
                  <w:top w:w="0" w:type="dxa"/>
                  <w:left w:w="108" w:type="dxa"/>
                  <w:bottom w:w="0" w:type="dxa"/>
                  <w:right w:w="108" w:type="dxa"/>
                </w:tblCellMar>
              </w:tblPrEx>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数量</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落实超低能耗建筑示范项目（个）</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r>
            <w:tr>
              <w:tblPrEx>
                <w:tblCellMar>
                  <w:top w:w="0" w:type="dxa"/>
                  <w:left w:w="108" w:type="dxa"/>
                  <w:bottom w:w="0" w:type="dxa"/>
                  <w:right w:w="108" w:type="dxa"/>
                </w:tblCellMar>
              </w:tblPrEx>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质量</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达到超低能耗建筑项目的示范效果</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ascii="宋体" w:hAnsi="宋体" w:cs="宋体"/>
                      <w:color w:val="000000"/>
                      <w:kern w:val="0"/>
                      <w:szCs w:val="21"/>
                      <w:highlight w:val="none"/>
                      <w:lang w:bidi="ar"/>
                    </w:rPr>
                    <w:t>100%</w:t>
                  </w:r>
                </w:p>
              </w:tc>
            </w:tr>
            <w:tr>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时效</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按时完成超低能耗建筑示范项目</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ascii="宋体" w:hAnsi="宋体" w:cs="宋体"/>
                      <w:color w:val="000000"/>
                      <w:kern w:val="0"/>
                      <w:szCs w:val="21"/>
                      <w:highlight w:val="none"/>
                      <w:lang w:bidi="ar"/>
                    </w:rPr>
                    <w:t>202</w:t>
                  </w:r>
                  <w:r>
                    <w:rPr>
                      <w:rFonts w:hint="eastAsia" w:ascii="宋体" w:hAnsi="宋体" w:cs="宋体"/>
                      <w:color w:val="000000"/>
                      <w:kern w:val="0"/>
                      <w:szCs w:val="21"/>
                      <w:highlight w:val="none"/>
                      <w:lang w:val="en-US" w:eastAsia="zh-CN" w:bidi="ar"/>
                    </w:rPr>
                    <w:t>5</w:t>
                  </w:r>
                  <w:r>
                    <w:rPr>
                      <w:rFonts w:hint="eastAsia" w:ascii="宋体" w:hAnsi="宋体" w:cs="宋体"/>
                      <w:color w:val="000000"/>
                      <w:kern w:val="0"/>
                      <w:szCs w:val="21"/>
                      <w:highlight w:val="none"/>
                      <w:lang w:bidi="ar"/>
                    </w:rPr>
                    <w:t>年</w:t>
                  </w:r>
                  <w:r>
                    <w:rPr>
                      <w:rFonts w:ascii="宋体" w:hAnsi="宋体" w:cs="宋体"/>
                      <w:color w:val="000000"/>
                      <w:kern w:val="0"/>
                      <w:szCs w:val="21"/>
                      <w:highlight w:val="none"/>
                      <w:lang w:bidi="ar"/>
                    </w:rPr>
                    <w:t>12月31日之前</w:t>
                  </w:r>
                </w:p>
              </w:tc>
            </w:tr>
            <w:tr>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社会效益</w:t>
                  </w:r>
                </w:p>
              </w:tc>
              <w:tc>
                <w:tcPr>
                  <w:tcW w:w="4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通过超低能耗示范项目的推广，促进超低能耗宣传普及，提高社会认知。</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有效促进和推广</w:t>
                  </w:r>
                </w:p>
              </w:tc>
            </w:tr>
          </w:tbl>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lang w:val="en-US" w:eastAsia="zh-CN"/>
              </w:rPr>
              <w:t>七</w:t>
            </w:r>
            <w:r>
              <w:rPr>
                <w:rFonts w:hint="eastAsia" w:ascii="仿宋_GB2312" w:hAnsi="仿宋_GB2312" w:eastAsia="仿宋_GB2312" w:cs="仿宋_GB2312"/>
                <w:b/>
                <w:sz w:val="24"/>
                <w:highlight w:val="none"/>
              </w:rPr>
              <w:t>、申报单位概况（如联合申报，则各单位分别填写）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承担单位基本情况。包括企业所有制性质、规模、人员组成、技术力量、设备条件、发展规划及战略、在行业内的地位、主营业务及主要产品，近一年经营业绩（年产值、利润总额等）、对示范项目实施的贡献、承担的工作内容。）</w:t>
            </w: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0" w:hRule="atLeast"/>
          <w:jc w:val="center"/>
        </w:trPr>
        <w:tc>
          <w:tcPr>
            <w:tcW w:w="8900" w:type="dxa"/>
            <w:gridSpan w:val="21"/>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lang w:val="en-US" w:eastAsia="zh-CN"/>
              </w:rPr>
              <w:t>八</w:t>
            </w:r>
            <w:r>
              <w:rPr>
                <w:rFonts w:hint="eastAsia" w:ascii="仿宋_GB2312" w:hAnsi="仿宋_GB2312" w:eastAsia="仿宋_GB2312" w:cs="仿宋_GB2312"/>
                <w:b/>
                <w:sz w:val="24"/>
                <w:highlight w:val="none"/>
              </w:rPr>
              <w:t>、已获得或已申报其他财政专项资金情况说明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503" w:hRule="atLeast"/>
          <w:jc w:val="center"/>
        </w:trPr>
        <w:tc>
          <w:tcPr>
            <w:tcW w:w="8900" w:type="dxa"/>
            <w:gridSpan w:val="21"/>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（请列明项目已经获得本市其他财政专项资金资助或奖励，或已申报本市其他财政性专项资金资助或奖励的情况）</w:t>
            </w: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Style w:val="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val="en-US" w:eastAsia="zh-CN"/>
              </w:rPr>
              <w:t>九</w:t>
            </w:r>
            <w:r>
              <w:rPr>
                <w:rFonts w:hint="eastAsia" w:ascii="仿宋_GB2312" w:hAnsi="仿宋_GB2312" w:eastAsia="仿宋_GB2312" w:cs="仿宋_GB2312"/>
                <w:b/>
                <w:sz w:val="24"/>
                <w:highlight w:val="none"/>
              </w:rPr>
              <w:t>、项目主要参加人员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姓名</w:t>
            </w:r>
          </w:p>
        </w:tc>
        <w:tc>
          <w:tcPr>
            <w:tcW w:w="1084"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职务</w:t>
            </w: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职称</w:t>
            </w: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left"/>
              <w:outlineLvl w:val="0"/>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val="en-US" w:eastAsia="zh-CN"/>
              </w:rPr>
              <w:t>十</w:t>
            </w:r>
            <w:r>
              <w:rPr>
                <w:rFonts w:hint="eastAsia" w:ascii="仿宋_GB2312" w:hAnsi="仿宋_GB2312" w:eastAsia="仿宋_GB2312" w:cs="仿宋_GB2312"/>
                <w:b/>
                <w:sz w:val="24"/>
                <w:highlight w:val="none"/>
              </w:rPr>
              <w:t>、申报单位意见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0"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600"/>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我单位此次申报的所有材料内容及所附资料均真实、合法、完整。如有不实之处，愿承担相应的法律责任及由此产生的一切后果。</w:t>
            </w:r>
          </w:p>
          <w:p>
            <w:pPr>
              <w:pageBreakBefore w:val="0"/>
              <w:kinsoku/>
              <w:overflowPunct/>
              <w:topLinePunct w:val="0"/>
              <w:bidi w:val="0"/>
              <w:snapToGrid w:val="0"/>
              <w:spacing w:line="560" w:lineRule="exact"/>
              <w:ind w:firstLine="600"/>
              <w:rPr>
                <w:rFonts w:ascii="仿宋_GB2312" w:hAnsi="仿宋_GB2312" w:eastAsia="仿宋_GB2312" w:cs="仿宋_GB2312"/>
                <w:color w:val="000000"/>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项目申报单位（盖章）：</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项目联合体申报                             </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项目牵头申报单位（盖章）：               项目参与单位（盖章）：</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                   单位法人代表（签字）：</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                            年   月   日</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项目参与单位（盖章）：                   项目参与单位（盖章）：</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                   单位法人代表（签字）：</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                            年   月   日</w:t>
            </w:r>
          </w:p>
          <w:p>
            <w:pPr>
              <w:pageBreakBefore w:val="0"/>
              <w:kinsoku/>
              <w:overflowPunct/>
              <w:topLinePunct w:val="0"/>
              <w:bidi w:val="0"/>
              <w:snapToGrid w:val="0"/>
              <w:spacing w:line="560" w:lineRule="exact"/>
              <w:ind w:firstLine="600"/>
              <w:jc w:val="left"/>
              <w:rPr>
                <w:rFonts w:ascii="仿宋_GB2312" w:hAnsi="仿宋_GB2312" w:eastAsia="仿宋_GB2312" w:cs="仿宋_GB2312"/>
                <w:sz w:val="24"/>
                <w:highlight w:val="none"/>
              </w:rPr>
            </w:pPr>
          </w:p>
        </w:tc>
      </w:tr>
    </w:tbl>
    <w:p>
      <w:pPr>
        <w:pageBreakBefore w:val="0"/>
        <w:kinsoku/>
        <w:overflowPunct/>
        <w:topLinePunct w:val="0"/>
        <w:bidi w:val="0"/>
        <w:spacing w:line="560" w:lineRule="exact"/>
        <w:rPr>
          <w:rFonts w:ascii="仿宋_GB2312" w:eastAsia="仿宋_GB2312"/>
          <w:color w:val="000000"/>
          <w:sz w:val="32"/>
          <w:szCs w:val="32"/>
          <w:highlight w:val="none"/>
        </w:rPr>
        <w:sectPr>
          <w:pgSz w:w="11906" w:h="16838"/>
          <w:pgMar w:top="1440" w:right="1803" w:bottom="1440" w:left="1803" w:header="851" w:footer="992" w:gutter="0"/>
          <w:pgNumType w:fmt="numberInDash"/>
          <w:cols w:space="720" w:num="1"/>
          <w:docGrid w:type="lines" w:linePitch="312" w:charSpace="0"/>
        </w:sectPr>
      </w:pPr>
      <w:r>
        <w:rPr>
          <w:rFonts w:hint="eastAsia" w:ascii="仿宋_GB2312" w:eastAsia="仿宋_GB2312"/>
          <w:sz w:val="32"/>
          <w:szCs w:val="32"/>
          <w:highlight w:val="none"/>
        </w:rPr>
        <w:br w:type="page"/>
      </w:r>
    </w:p>
    <w:p>
      <w:pPr>
        <w:pageBreakBefore w:val="0"/>
        <w:kinsoku/>
        <w:overflowPunct/>
        <w:topLinePunct w:val="0"/>
        <w:bidi w:val="0"/>
        <w:spacing w:line="560" w:lineRule="exact"/>
        <w:rPr>
          <w:rFonts w:ascii="仿宋_GB2312" w:eastAsia="仿宋_GB2312"/>
          <w:color w:val="000000"/>
          <w:sz w:val="32"/>
          <w:szCs w:val="32"/>
          <w:highlight w:val="none"/>
        </w:rPr>
      </w:pPr>
      <w:r>
        <w:rPr>
          <w:rFonts w:hint="eastAsia" w:ascii="仿宋_GB2312" w:eastAsia="仿宋_GB2312"/>
          <w:color w:val="000000"/>
          <w:sz w:val="32"/>
          <w:szCs w:val="32"/>
          <w:highlight w:val="none"/>
        </w:rPr>
        <w:t>附录2</w:t>
      </w: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tbl>
      <w:tblPr>
        <w:tblStyle w:val="14"/>
        <w:tblW w:w="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220" w:type="dxa"/>
            <w:tcBorders>
              <w:top w:val="nil"/>
              <w:left w:val="nil"/>
              <w:bottom w:val="nil"/>
              <w:right w:val="nil"/>
            </w:tcBorders>
            <w:vAlign w:val="center"/>
          </w:tcPr>
          <w:p>
            <w:pPr>
              <w:pStyle w:val="11"/>
              <w:pageBreakBefore w:val="0"/>
              <w:kinsoku/>
              <w:overflowPunct/>
              <w:topLinePunct w:val="0"/>
              <w:bidi w:val="0"/>
              <w:spacing w:line="560" w:lineRule="exact"/>
              <w:rPr>
                <w:b w:val="0"/>
                <w:szCs w:val="28"/>
                <w:highlight w:val="none"/>
              </w:rPr>
            </w:pPr>
            <w:r>
              <w:rPr>
                <w:rFonts w:hint="eastAsia"/>
                <w:b w:val="0"/>
                <w:szCs w:val="28"/>
                <w:highlight w:val="none"/>
              </w:rPr>
              <w:t>关于</w:t>
            </w:r>
            <w:r>
              <w:rPr>
                <w:b w:val="0"/>
                <w:szCs w:val="28"/>
                <w:highlight w:val="none"/>
              </w:rPr>
              <w:t>深圳市</w:t>
            </w:r>
            <w:r>
              <w:rPr>
                <w:rFonts w:hint="eastAsia"/>
                <w:b w:val="0"/>
                <w:szCs w:val="28"/>
                <w:highlight w:val="none"/>
              </w:rPr>
              <w:t>××××</w:t>
            </w:r>
            <w:r>
              <w:rPr>
                <w:b w:val="0"/>
                <w:szCs w:val="28"/>
                <w:highlight w:val="none"/>
              </w:rPr>
              <w:t>有限公司</w:t>
            </w:r>
          </w:p>
          <w:p>
            <w:pPr>
              <w:pageBreakBefore w:val="0"/>
              <w:kinsoku/>
              <w:overflowPunct/>
              <w:topLinePunct w:val="0"/>
              <w:bidi w:val="0"/>
              <w:snapToGrid w:val="0"/>
              <w:spacing w:before="157" w:beforeLines="50" w:line="560" w:lineRule="exact"/>
              <w:jc w:val="center"/>
              <w:rPr>
                <w:rFonts w:eastAsia="仿宋_GB2312"/>
                <w:bCs/>
                <w:sz w:val="28"/>
                <w:szCs w:val="28"/>
                <w:highlight w:val="none"/>
              </w:rPr>
            </w:pPr>
            <w:r>
              <w:rPr>
                <w:rFonts w:hint="eastAsia" w:eastAsia="仿宋_GB2312"/>
                <w:bCs/>
                <w:sz w:val="28"/>
                <w:szCs w:val="28"/>
                <w:highlight w:val="none"/>
              </w:rPr>
              <w:t>××项目投资的</w:t>
            </w:r>
          </w:p>
          <w:p>
            <w:pPr>
              <w:pageBreakBefore w:val="0"/>
              <w:kinsoku/>
              <w:overflowPunct/>
              <w:topLinePunct w:val="0"/>
              <w:bidi w:val="0"/>
              <w:snapToGrid w:val="0"/>
              <w:spacing w:before="157" w:beforeLines="50" w:line="560" w:lineRule="exact"/>
              <w:jc w:val="center"/>
              <w:rPr>
                <w:rFonts w:eastAsia="黑体"/>
                <w:bCs/>
                <w:sz w:val="32"/>
                <w:szCs w:val="32"/>
                <w:highlight w:val="none"/>
              </w:rPr>
            </w:pPr>
            <w:r>
              <w:rPr>
                <w:rFonts w:hint="eastAsia" w:eastAsia="黑体"/>
                <w:bCs/>
                <w:sz w:val="32"/>
                <w:szCs w:val="32"/>
                <w:highlight w:val="none"/>
              </w:rPr>
              <w:t xml:space="preserve">专 项 审 计 </w:t>
            </w:r>
            <w:r>
              <w:rPr>
                <w:rFonts w:eastAsia="黑体"/>
                <w:bCs/>
                <w:sz w:val="32"/>
                <w:szCs w:val="32"/>
                <w:highlight w:val="none"/>
              </w:rPr>
              <w:t>报 告</w:t>
            </w:r>
          </w:p>
        </w:tc>
      </w:tr>
    </w:tbl>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tbl>
      <w:tblPr>
        <w:tblStyle w:val="14"/>
        <w:tblW w:w="8460" w:type="dxa"/>
        <w:tblInd w:w="108" w:type="dxa"/>
        <w:tblLayout w:type="fixed"/>
        <w:tblCellMar>
          <w:top w:w="0" w:type="dxa"/>
          <w:left w:w="108" w:type="dxa"/>
          <w:bottom w:w="0" w:type="dxa"/>
          <w:right w:w="108" w:type="dxa"/>
        </w:tblCellMar>
      </w:tblPr>
      <w:tblGrid>
        <w:gridCol w:w="5220"/>
        <w:gridCol w:w="1947"/>
        <w:gridCol w:w="1293"/>
      </w:tblGrid>
      <w:tr>
        <w:tblPrEx>
          <w:tblCellMar>
            <w:top w:w="0" w:type="dxa"/>
            <w:left w:w="108" w:type="dxa"/>
            <w:bottom w:w="0" w:type="dxa"/>
            <w:right w:w="108" w:type="dxa"/>
          </w:tblCellMar>
        </w:tblPrEx>
        <w:trPr>
          <w:cantSplit/>
        </w:trPr>
        <w:tc>
          <w:tcPr>
            <w:tcW w:w="5220" w:type="dxa"/>
            <w:tcBorders>
              <w:bottom w:val="single" w:color="auto" w:sz="4" w:space="0"/>
            </w:tcBorders>
          </w:tcPr>
          <w:p>
            <w:pPr>
              <w:pageBreakBefore w:val="0"/>
              <w:kinsoku/>
              <w:overflowPunct/>
              <w:topLinePunct w:val="0"/>
              <w:bidi w:val="0"/>
              <w:spacing w:after="157" w:afterLines="50" w:line="560" w:lineRule="exact"/>
              <w:jc w:val="center"/>
              <w:rPr>
                <w:rFonts w:eastAsia="黑体"/>
                <w:color w:val="000000"/>
                <w:szCs w:val="21"/>
                <w:highlight w:val="none"/>
              </w:rPr>
            </w:pPr>
            <w:r>
              <w:rPr>
                <w:rFonts w:eastAsia="黑体"/>
                <w:bCs/>
                <w:color w:val="000000"/>
                <w:szCs w:val="21"/>
                <w:highlight w:val="none"/>
              </w:rPr>
              <w:t>目录</w:t>
            </w:r>
          </w:p>
        </w:tc>
        <w:tc>
          <w:tcPr>
            <w:tcW w:w="1947" w:type="dxa"/>
          </w:tcPr>
          <w:p>
            <w:pPr>
              <w:pageBreakBefore w:val="0"/>
              <w:kinsoku/>
              <w:overflowPunct/>
              <w:topLinePunct w:val="0"/>
              <w:bidi w:val="0"/>
              <w:spacing w:after="157" w:afterLines="50" w:line="560" w:lineRule="exact"/>
              <w:rPr>
                <w:color w:val="000000"/>
                <w:szCs w:val="21"/>
                <w:highlight w:val="none"/>
              </w:rPr>
            </w:pPr>
          </w:p>
        </w:tc>
        <w:tc>
          <w:tcPr>
            <w:tcW w:w="1293" w:type="dxa"/>
            <w:tcBorders>
              <w:bottom w:val="single" w:color="auto" w:sz="4" w:space="0"/>
            </w:tcBorders>
          </w:tcPr>
          <w:p>
            <w:pPr>
              <w:pageBreakBefore w:val="0"/>
              <w:tabs>
                <w:tab w:val="left" w:pos="207"/>
              </w:tabs>
              <w:kinsoku/>
              <w:overflowPunct/>
              <w:topLinePunct w:val="0"/>
              <w:bidi w:val="0"/>
              <w:spacing w:after="157" w:afterLines="50" w:line="560" w:lineRule="exact"/>
              <w:ind w:right="-107" w:rightChars="-51" w:hanging="31"/>
              <w:jc w:val="center"/>
              <w:rPr>
                <w:rFonts w:eastAsia="黑体"/>
                <w:bCs/>
                <w:color w:val="000000"/>
                <w:szCs w:val="21"/>
                <w:highlight w:val="none"/>
              </w:rPr>
            </w:pPr>
            <w:r>
              <w:rPr>
                <w:rFonts w:eastAsia="黑体"/>
                <w:bCs/>
                <w:color w:val="000000"/>
                <w:szCs w:val="21"/>
                <w:highlight w:val="none"/>
              </w:rPr>
              <w:t>页数</w:t>
            </w:r>
          </w:p>
        </w:tc>
      </w:tr>
      <w:tr>
        <w:tblPrEx>
          <w:tblCellMar>
            <w:top w:w="0" w:type="dxa"/>
            <w:left w:w="108" w:type="dxa"/>
            <w:bottom w:w="0" w:type="dxa"/>
            <w:right w:w="108" w:type="dxa"/>
          </w:tblCellMar>
        </w:tblPrEx>
        <w:trPr>
          <w:cantSplit/>
        </w:trPr>
        <w:tc>
          <w:tcPr>
            <w:tcW w:w="5220" w:type="dxa"/>
          </w:tcPr>
          <w:p>
            <w:pPr>
              <w:pageBreakBefore w:val="0"/>
              <w:kinsoku/>
              <w:overflowPunct/>
              <w:topLinePunct w:val="0"/>
              <w:bidi w:val="0"/>
              <w:spacing w:line="560" w:lineRule="exact"/>
              <w:rPr>
                <w:rFonts w:eastAsia="黑体"/>
                <w:bCs/>
                <w:color w:val="000000"/>
                <w:szCs w:val="21"/>
                <w:highlight w:val="none"/>
              </w:rPr>
            </w:pPr>
            <w:r>
              <w:rPr>
                <w:rFonts w:eastAsia="黑体"/>
                <w:bCs/>
                <w:color w:val="000000"/>
                <w:szCs w:val="21"/>
                <w:highlight w:val="none"/>
              </w:rPr>
              <w:t>一、</w:t>
            </w:r>
            <w:r>
              <w:rPr>
                <w:rFonts w:hint="eastAsia" w:eastAsia="黑体"/>
                <w:bCs/>
                <w:color w:val="000000"/>
                <w:szCs w:val="21"/>
                <w:highlight w:val="none"/>
              </w:rPr>
              <w:t>××项目投资专项审计报告</w:t>
            </w:r>
          </w:p>
        </w:tc>
        <w:tc>
          <w:tcPr>
            <w:tcW w:w="1947" w:type="dxa"/>
          </w:tcPr>
          <w:p>
            <w:pPr>
              <w:pageBreakBefore w:val="0"/>
              <w:kinsoku/>
              <w:overflowPunct/>
              <w:topLinePunct w:val="0"/>
              <w:bidi w:val="0"/>
              <w:spacing w:line="560" w:lineRule="exact"/>
              <w:rPr>
                <w:b/>
                <w:bCs/>
                <w:color w:val="000000"/>
                <w:szCs w:val="21"/>
                <w:highlight w:val="none"/>
              </w:rPr>
            </w:pPr>
          </w:p>
        </w:tc>
        <w:tc>
          <w:tcPr>
            <w:tcW w:w="1293" w:type="dxa"/>
            <w:tcBorders>
              <w:top w:val="single" w:color="auto" w:sz="4" w:space="0"/>
            </w:tcBorders>
          </w:tcPr>
          <w:p>
            <w:pPr>
              <w:pageBreakBefore w:val="0"/>
              <w:tabs>
                <w:tab w:val="left" w:pos="207"/>
              </w:tabs>
              <w:kinsoku/>
              <w:overflowPunct/>
              <w:topLinePunct w:val="0"/>
              <w:bidi w:val="0"/>
              <w:spacing w:line="560" w:lineRule="exact"/>
              <w:ind w:hanging="31"/>
              <w:jc w:val="center"/>
              <w:rPr>
                <w:color w:val="000000"/>
                <w:szCs w:val="21"/>
                <w:highlight w:val="none"/>
              </w:rPr>
            </w:pPr>
          </w:p>
        </w:tc>
      </w:tr>
      <w:tr>
        <w:tblPrEx>
          <w:tblCellMar>
            <w:top w:w="0" w:type="dxa"/>
            <w:left w:w="108" w:type="dxa"/>
            <w:bottom w:w="0" w:type="dxa"/>
            <w:right w:w="108" w:type="dxa"/>
          </w:tblCellMar>
        </w:tblPrEx>
        <w:trPr>
          <w:cantSplit/>
          <w:trHeight w:val="323" w:hRule="atLeast"/>
        </w:trPr>
        <w:tc>
          <w:tcPr>
            <w:tcW w:w="5220" w:type="dxa"/>
          </w:tcPr>
          <w:p>
            <w:pPr>
              <w:pageBreakBefore w:val="0"/>
              <w:tabs>
                <w:tab w:val="left" w:pos="879"/>
              </w:tabs>
              <w:kinsoku/>
              <w:overflowPunct/>
              <w:topLinePunct w:val="0"/>
              <w:bidi w:val="0"/>
              <w:spacing w:before="157" w:beforeLines="50" w:after="157" w:afterLines="50" w:line="560" w:lineRule="exact"/>
              <w:rPr>
                <w:rFonts w:eastAsia="黑体"/>
                <w:bCs/>
                <w:color w:val="000000"/>
                <w:szCs w:val="21"/>
                <w:highlight w:val="none"/>
              </w:rPr>
            </w:pPr>
            <w:r>
              <w:rPr>
                <w:rFonts w:eastAsia="黑体"/>
                <w:bCs/>
                <w:color w:val="000000"/>
                <w:szCs w:val="21"/>
                <w:highlight w:val="none"/>
              </w:rPr>
              <w:t>二、深圳市</w:t>
            </w:r>
            <w:r>
              <w:rPr>
                <w:rFonts w:hint="eastAsia" w:eastAsia="黑体"/>
                <w:bCs/>
                <w:color w:val="000000"/>
                <w:szCs w:val="21"/>
                <w:highlight w:val="none"/>
              </w:rPr>
              <w:t>××××</w:t>
            </w:r>
            <w:r>
              <w:rPr>
                <w:rFonts w:eastAsia="黑体"/>
                <w:bCs/>
                <w:color w:val="000000"/>
                <w:szCs w:val="21"/>
                <w:highlight w:val="none"/>
              </w:rPr>
              <w:t>有限公司</w:t>
            </w:r>
          </w:p>
          <w:p>
            <w:pPr>
              <w:pageBreakBefore w:val="0"/>
              <w:tabs>
                <w:tab w:val="left" w:pos="879"/>
              </w:tabs>
              <w:kinsoku/>
              <w:overflowPunct/>
              <w:topLinePunct w:val="0"/>
              <w:bidi w:val="0"/>
              <w:spacing w:before="157" w:beforeLines="50" w:after="157" w:afterLines="50" w:line="560" w:lineRule="exact"/>
              <w:ind w:left="430" w:leftChars="205"/>
              <w:rPr>
                <w:rFonts w:eastAsia="黑体"/>
                <w:bCs/>
                <w:color w:val="000000"/>
                <w:szCs w:val="21"/>
                <w:highlight w:val="none"/>
              </w:rPr>
            </w:pPr>
            <w:r>
              <w:rPr>
                <w:rFonts w:eastAsia="黑体"/>
                <w:bCs/>
                <w:color w:val="000000"/>
                <w:szCs w:val="21"/>
                <w:highlight w:val="none"/>
              </w:rPr>
              <w:t>关于</w:t>
            </w:r>
            <w:r>
              <w:rPr>
                <w:rFonts w:hint="eastAsia" w:eastAsia="黑体"/>
                <w:bCs/>
                <w:color w:val="000000"/>
                <w:szCs w:val="21"/>
                <w:highlight w:val="none"/>
              </w:rPr>
              <w:t>××项目投资</w:t>
            </w:r>
            <w:r>
              <w:rPr>
                <w:rFonts w:eastAsia="黑体"/>
                <w:bCs/>
                <w:color w:val="000000"/>
                <w:szCs w:val="21"/>
                <w:highlight w:val="none"/>
              </w:rPr>
              <w:t>情况报告</w:t>
            </w:r>
          </w:p>
        </w:tc>
        <w:tc>
          <w:tcPr>
            <w:tcW w:w="1947" w:type="dxa"/>
          </w:tcPr>
          <w:p>
            <w:pPr>
              <w:pageBreakBefore w:val="0"/>
              <w:tabs>
                <w:tab w:val="left" w:pos="879"/>
              </w:tabs>
              <w:kinsoku/>
              <w:overflowPunct/>
              <w:topLinePunct w:val="0"/>
              <w:bidi w:val="0"/>
              <w:spacing w:line="560" w:lineRule="exact"/>
              <w:rPr>
                <w:b/>
                <w:bCs/>
                <w:color w:val="000000"/>
                <w:szCs w:val="21"/>
                <w:highlight w:val="none"/>
              </w:rPr>
            </w:pPr>
          </w:p>
        </w:tc>
        <w:tc>
          <w:tcPr>
            <w:tcW w:w="1293" w:type="dxa"/>
            <w:vAlign w:val="center"/>
          </w:tcPr>
          <w:p>
            <w:pPr>
              <w:pageBreakBefore w:val="0"/>
              <w:tabs>
                <w:tab w:val="left" w:pos="207"/>
                <w:tab w:val="left" w:pos="879"/>
              </w:tabs>
              <w:kinsoku/>
              <w:overflowPunct/>
              <w:topLinePunct w:val="0"/>
              <w:bidi w:val="0"/>
              <w:spacing w:line="560" w:lineRule="exact"/>
              <w:ind w:hanging="31"/>
              <w:jc w:val="center"/>
              <w:rPr>
                <w:color w:val="000000"/>
                <w:szCs w:val="21"/>
                <w:highlight w:val="none"/>
              </w:rPr>
            </w:pPr>
          </w:p>
        </w:tc>
      </w:tr>
      <w:tr>
        <w:tblPrEx>
          <w:tblCellMar>
            <w:top w:w="0" w:type="dxa"/>
            <w:left w:w="108" w:type="dxa"/>
            <w:bottom w:w="0" w:type="dxa"/>
            <w:right w:w="108" w:type="dxa"/>
          </w:tblCellMar>
        </w:tblPrEx>
        <w:trPr>
          <w:cantSplit/>
          <w:trHeight w:val="323" w:hRule="atLeast"/>
        </w:trPr>
        <w:tc>
          <w:tcPr>
            <w:tcW w:w="5220" w:type="dxa"/>
          </w:tcPr>
          <w:p>
            <w:pPr>
              <w:pageBreakBefore w:val="0"/>
              <w:tabs>
                <w:tab w:val="left" w:pos="879"/>
              </w:tabs>
              <w:kinsoku/>
              <w:overflowPunct/>
              <w:topLinePunct w:val="0"/>
              <w:bidi w:val="0"/>
              <w:spacing w:line="560" w:lineRule="exact"/>
              <w:rPr>
                <w:rFonts w:eastAsia="黑体"/>
                <w:bCs/>
                <w:color w:val="000000"/>
                <w:szCs w:val="21"/>
                <w:highlight w:val="none"/>
              </w:rPr>
            </w:pPr>
            <w:r>
              <w:rPr>
                <w:rFonts w:eastAsia="黑体"/>
                <w:bCs/>
                <w:color w:val="000000"/>
                <w:szCs w:val="21"/>
                <w:highlight w:val="none"/>
              </w:rPr>
              <w:t>三、</w:t>
            </w:r>
            <w:r>
              <w:rPr>
                <w:rFonts w:hint="eastAsia" w:eastAsia="黑体"/>
                <w:bCs/>
                <w:color w:val="000000"/>
                <w:szCs w:val="21"/>
                <w:highlight w:val="none"/>
              </w:rPr>
              <w:t>审计</w:t>
            </w:r>
            <w:r>
              <w:rPr>
                <w:rFonts w:eastAsia="黑体"/>
                <w:bCs/>
                <w:color w:val="000000"/>
                <w:szCs w:val="21"/>
                <w:highlight w:val="none"/>
              </w:rPr>
              <w:t>机构营业执照及执业许可证复印件</w:t>
            </w:r>
          </w:p>
        </w:tc>
        <w:tc>
          <w:tcPr>
            <w:tcW w:w="1947" w:type="dxa"/>
          </w:tcPr>
          <w:p>
            <w:pPr>
              <w:pageBreakBefore w:val="0"/>
              <w:tabs>
                <w:tab w:val="left" w:pos="879"/>
              </w:tabs>
              <w:kinsoku/>
              <w:overflowPunct/>
              <w:topLinePunct w:val="0"/>
              <w:bidi w:val="0"/>
              <w:spacing w:line="560" w:lineRule="exact"/>
              <w:rPr>
                <w:b/>
                <w:bCs/>
                <w:color w:val="000000"/>
                <w:szCs w:val="21"/>
                <w:highlight w:val="none"/>
              </w:rPr>
            </w:pPr>
          </w:p>
        </w:tc>
        <w:tc>
          <w:tcPr>
            <w:tcW w:w="1293" w:type="dxa"/>
          </w:tcPr>
          <w:p>
            <w:pPr>
              <w:pageBreakBefore w:val="0"/>
              <w:tabs>
                <w:tab w:val="left" w:pos="207"/>
                <w:tab w:val="left" w:pos="879"/>
              </w:tabs>
              <w:kinsoku/>
              <w:overflowPunct/>
              <w:topLinePunct w:val="0"/>
              <w:bidi w:val="0"/>
              <w:spacing w:line="560" w:lineRule="exact"/>
              <w:ind w:hanging="31"/>
              <w:jc w:val="center"/>
              <w:rPr>
                <w:color w:val="000000"/>
                <w:szCs w:val="21"/>
                <w:highlight w:val="none"/>
              </w:rPr>
            </w:pPr>
          </w:p>
        </w:tc>
      </w:tr>
    </w:tbl>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rPr>
          <w:b/>
          <w:bCs/>
          <w:color w:val="000000"/>
          <w:sz w:val="20"/>
          <w:szCs w:val="21"/>
          <w:highlight w:val="none"/>
        </w:rPr>
      </w:pPr>
    </w:p>
    <w:p>
      <w:pPr>
        <w:pageBreakBefore w:val="0"/>
        <w:kinsoku/>
        <w:overflowPunct/>
        <w:topLinePunct w:val="0"/>
        <w:bidi w:val="0"/>
        <w:snapToGrid w:val="0"/>
        <w:spacing w:before="236" w:beforeLines="75" w:after="157" w:afterLines="50" w:line="560" w:lineRule="exact"/>
        <w:jc w:val="center"/>
        <w:rPr>
          <w:rFonts w:eastAsia="黑体"/>
          <w:color w:val="000000"/>
          <w:sz w:val="28"/>
          <w:szCs w:val="32"/>
          <w:highlight w:val="none"/>
        </w:rPr>
      </w:pPr>
      <w:r>
        <w:rPr>
          <w:rFonts w:hAnsi="Garamond" w:eastAsia="黑体"/>
          <w:color w:val="000000"/>
          <w:sz w:val="28"/>
          <w:szCs w:val="32"/>
          <w:highlight w:val="none"/>
        </w:rPr>
        <w:t>关于深圳市</w:t>
      </w:r>
      <w:r>
        <w:rPr>
          <w:rFonts w:hint="eastAsia" w:hAnsi="Garamond" w:eastAsia="黑体"/>
          <w:color w:val="000000"/>
          <w:sz w:val="28"/>
          <w:szCs w:val="32"/>
          <w:highlight w:val="none"/>
        </w:rPr>
        <w:t>××××</w:t>
      </w:r>
      <w:r>
        <w:rPr>
          <w:rFonts w:hAnsi="Garamond" w:eastAsia="黑体"/>
          <w:color w:val="000000"/>
          <w:sz w:val="28"/>
          <w:szCs w:val="32"/>
          <w:highlight w:val="none"/>
        </w:rPr>
        <w:t>有限公司</w:t>
      </w:r>
    </w:p>
    <w:p>
      <w:pPr>
        <w:pageBreakBefore w:val="0"/>
        <w:kinsoku/>
        <w:overflowPunct/>
        <w:topLinePunct w:val="0"/>
        <w:bidi w:val="0"/>
        <w:snapToGrid w:val="0"/>
        <w:spacing w:before="236" w:beforeLines="75" w:after="157" w:afterLines="50" w:line="560" w:lineRule="exact"/>
        <w:jc w:val="center"/>
        <w:rPr>
          <w:rFonts w:eastAsia="黑体"/>
          <w:color w:val="000000"/>
          <w:sz w:val="28"/>
          <w:szCs w:val="32"/>
          <w:highlight w:val="none"/>
        </w:rPr>
      </w:pPr>
      <w:r>
        <w:rPr>
          <w:rFonts w:hint="eastAsia" w:hAnsi="Garamond" w:eastAsia="黑体"/>
          <w:color w:val="000000"/>
          <w:sz w:val="28"/>
          <w:szCs w:val="32"/>
          <w:highlight w:val="none"/>
        </w:rPr>
        <w:t>××项目投资专项审计报告</w:t>
      </w:r>
    </w:p>
    <w:p>
      <w:pPr>
        <w:pageBreakBefore w:val="0"/>
        <w:kinsoku/>
        <w:wordWrap w:val="0"/>
        <w:overflowPunct/>
        <w:topLinePunct w:val="0"/>
        <w:bidi w:val="0"/>
        <w:snapToGrid w:val="0"/>
        <w:spacing w:before="236" w:beforeLines="75" w:after="157" w:afterLines="50" w:line="560" w:lineRule="exact"/>
        <w:jc w:val="right"/>
        <w:rPr>
          <w:rFonts w:eastAsia="黑体"/>
          <w:color w:val="000000"/>
          <w:szCs w:val="21"/>
          <w:highlight w:val="none"/>
        </w:rPr>
      </w:pPr>
      <w:r>
        <w:rPr>
          <w:rFonts w:hint="eastAsia" w:eastAsia="黑体"/>
          <w:color w:val="000000"/>
          <w:szCs w:val="21"/>
          <w:highlight w:val="none"/>
        </w:rPr>
        <w:t xml:space="preserve"> ××字[202×]×××</w:t>
      </w:r>
      <w:r>
        <w:rPr>
          <w:rFonts w:eastAsia="黑体"/>
          <w:color w:val="000000"/>
          <w:szCs w:val="21"/>
          <w:highlight w:val="none"/>
        </w:rPr>
        <w:t xml:space="preserve"> </w:t>
      </w:r>
    </w:p>
    <w:p>
      <w:pPr>
        <w:pageBreakBefore w:val="0"/>
        <w:kinsoku/>
        <w:overflowPunct/>
        <w:topLinePunct w:val="0"/>
        <w:bidi w:val="0"/>
        <w:snapToGrid w:val="0"/>
        <w:spacing w:before="236" w:beforeLines="75" w:after="157" w:afterLines="50" w:line="560" w:lineRule="exact"/>
        <w:rPr>
          <w:rFonts w:ascii="黑体" w:eastAsia="黑体"/>
          <w:bCs/>
          <w:color w:val="000000"/>
          <w:szCs w:val="21"/>
          <w:highlight w:val="none"/>
        </w:rPr>
      </w:pPr>
      <w:r>
        <w:rPr>
          <w:rFonts w:hint="eastAsia" w:ascii="黑体" w:eastAsia="黑体"/>
          <w:bCs/>
          <w:color w:val="000000"/>
          <w:szCs w:val="21"/>
          <w:highlight w:val="none"/>
        </w:rPr>
        <w:t>深圳市××××有限公司：</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根据《深圳市工程建设领域绿色创新发展专项资金管理办法》（深建规</w:t>
      </w:r>
      <w:r>
        <w:rPr>
          <w:rFonts w:hint="eastAsia" w:ascii="宋体" w:hAnsi="宋体"/>
          <w:sz w:val="24"/>
          <w:highlight w:val="none"/>
        </w:rPr>
        <w:t>〔2021〕1</w:t>
      </w:r>
      <w:r>
        <w:rPr>
          <w:rFonts w:hint="eastAsia" w:hAnsi="Garamond"/>
          <w:color w:val="000000"/>
          <w:szCs w:val="21"/>
          <w:highlight w:val="none"/>
        </w:rPr>
        <w:t>号）的要求，</w:t>
      </w:r>
      <w:r>
        <w:rPr>
          <w:rFonts w:hAnsi="Garamond"/>
          <w:color w:val="000000"/>
          <w:szCs w:val="21"/>
          <w:highlight w:val="none"/>
        </w:rPr>
        <w:t>我们接受委托，</w:t>
      </w:r>
      <w:r>
        <w:rPr>
          <w:rFonts w:hint="eastAsia" w:hAnsi="Garamond"/>
          <w:color w:val="000000"/>
          <w:szCs w:val="21"/>
          <w:highlight w:val="none"/>
        </w:rPr>
        <w:t>对深圳市××××</w:t>
      </w:r>
      <w:r>
        <w:rPr>
          <w:rFonts w:hAnsi="Garamond"/>
          <w:color w:val="000000"/>
          <w:szCs w:val="21"/>
          <w:highlight w:val="none"/>
        </w:rPr>
        <w:t>有限公司（以下简称</w:t>
      </w:r>
      <w:r>
        <w:rPr>
          <w:rFonts w:hint="eastAsia" w:hAnsi="Garamond"/>
          <w:color w:val="000000"/>
          <w:szCs w:val="21"/>
          <w:highlight w:val="none"/>
        </w:rPr>
        <w:t>××</w:t>
      </w:r>
      <w:r>
        <w:rPr>
          <w:rFonts w:hAnsi="Garamond"/>
          <w:color w:val="000000"/>
          <w:szCs w:val="21"/>
          <w:highlight w:val="none"/>
        </w:rPr>
        <w:t>公司）</w:t>
      </w:r>
      <w:r>
        <w:rPr>
          <w:rFonts w:hint="eastAsia" w:hAnsi="Garamond"/>
          <w:color w:val="000000"/>
          <w:szCs w:val="21"/>
          <w:highlight w:val="none"/>
        </w:rPr>
        <w:t>××项目投资情况进行审计。</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w:t>
      </w:r>
      <w:r>
        <w:rPr>
          <w:rFonts w:hAnsi="Garamond"/>
          <w:color w:val="000000"/>
          <w:szCs w:val="21"/>
          <w:highlight w:val="none"/>
        </w:rPr>
        <w:t>公司管理层的责任按照</w:t>
      </w:r>
      <w:r>
        <w:rPr>
          <w:rFonts w:hint="eastAsia" w:hAnsi="Garamond"/>
          <w:color w:val="000000"/>
          <w:szCs w:val="21"/>
          <w:highlight w:val="none"/>
        </w:rPr>
        <w:t>《深圳市市级财政专项资金管理办法》（深府规</w:t>
      </w:r>
      <w:r>
        <w:rPr>
          <w:rFonts w:hint="eastAsia" w:ascii="宋体" w:hAnsi="宋体"/>
          <w:sz w:val="24"/>
          <w:highlight w:val="none"/>
        </w:rPr>
        <w:t>〔2018〕12</w:t>
      </w:r>
      <w:r>
        <w:rPr>
          <w:rFonts w:hint="eastAsia" w:hAnsi="Garamond"/>
          <w:color w:val="000000"/>
          <w:szCs w:val="21"/>
          <w:highlight w:val="none"/>
        </w:rPr>
        <w:t>号）《深圳市工程建设领域绿色创新发展专项资金管理办法》（深建规</w:t>
      </w:r>
      <w:r>
        <w:rPr>
          <w:rFonts w:hint="eastAsia" w:ascii="宋体" w:hAnsi="宋体"/>
          <w:sz w:val="24"/>
          <w:highlight w:val="none"/>
        </w:rPr>
        <w:t>〔2021〕1</w:t>
      </w:r>
      <w:r>
        <w:rPr>
          <w:rFonts w:hint="eastAsia" w:hAnsi="Garamond"/>
          <w:color w:val="000000"/>
          <w:szCs w:val="21"/>
          <w:highlight w:val="none"/>
        </w:rPr>
        <w:t>号）的要求，</w:t>
      </w:r>
      <w:r>
        <w:rPr>
          <w:rFonts w:hAnsi="Garamond"/>
          <w:color w:val="000000"/>
          <w:szCs w:val="21"/>
          <w:highlight w:val="none"/>
        </w:rPr>
        <w:t>提供真实、合法、完整的相关资料，并保证其内容真实、准确、完整，不存在虚假记录、误导性陈述或重大遗漏。</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color w:val="000000"/>
          <w:szCs w:val="21"/>
          <w:highlight w:val="none"/>
        </w:rPr>
      </w:pPr>
      <w:r>
        <w:rPr>
          <w:rFonts w:hAnsi="Garamond"/>
          <w:color w:val="000000"/>
          <w:szCs w:val="21"/>
          <w:highlight w:val="none"/>
        </w:rPr>
        <w:t>我们的责任是在实施鉴证工作的基础上对</w:t>
      </w:r>
      <w:r>
        <w:rPr>
          <w:rFonts w:hint="eastAsia" w:hAnsi="Garamond"/>
          <w:color w:val="000000"/>
          <w:szCs w:val="21"/>
          <w:highlight w:val="none"/>
        </w:rPr>
        <w:t>XXXXXXX</w:t>
      </w:r>
      <w:r>
        <w:rPr>
          <w:rFonts w:hAnsi="Garamond"/>
          <w:color w:val="000000"/>
          <w:szCs w:val="21"/>
          <w:highlight w:val="none"/>
        </w:rPr>
        <w:t>管理层编制的上述报告发表意见。我们按照《中国注册会计师其他鉴证业务准则第</w:t>
      </w:r>
      <w:r>
        <w:rPr>
          <w:color w:val="000000"/>
          <w:szCs w:val="21"/>
          <w:highlight w:val="none"/>
        </w:rPr>
        <w:t>3101</w:t>
      </w:r>
      <w:r>
        <w:rPr>
          <w:rFonts w:hAnsi="Garamond"/>
          <w:color w:val="000000"/>
          <w:szCs w:val="21"/>
          <w:highlight w:val="none"/>
        </w:rPr>
        <w:t>号</w:t>
      </w:r>
      <w:r>
        <w:rPr>
          <w:color w:val="000000"/>
          <w:szCs w:val="21"/>
          <w:highlight w:val="none"/>
        </w:rPr>
        <w:t>——</w:t>
      </w:r>
      <w:r>
        <w:rPr>
          <w:rFonts w:hAnsi="Garamond"/>
          <w:color w:val="000000"/>
          <w:szCs w:val="21"/>
          <w:highlight w:val="none"/>
        </w:rPr>
        <w:t>历史财务信息审计或审阅以外的鉴证业务》的规定执行了</w:t>
      </w:r>
      <w:r>
        <w:rPr>
          <w:rFonts w:hint="eastAsia" w:hAnsi="Garamond"/>
          <w:color w:val="000000"/>
          <w:szCs w:val="21"/>
          <w:highlight w:val="none"/>
        </w:rPr>
        <w:t>专项审计</w:t>
      </w:r>
      <w:r>
        <w:rPr>
          <w:rFonts w:hAnsi="Garamond"/>
          <w:color w:val="000000"/>
          <w:szCs w:val="21"/>
          <w:highlight w:val="none"/>
        </w:rPr>
        <w:t>业务。该准则要求我们计划和实施鉴证工作，以对鉴证对象信息是否不存在重大错报获取合理保证。在</w:t>
      </w:r>
      <w:r>
        <w:rPr>
          <w:rFonts w:hint="eastAsia" w:hAnsi="Garamond"/>
          <w:color w:val="000000"/>
          <w:szCs w:val="21"/>
          <w:highlight w:val="none"/>
        </w:rPr>
        <w:t>专项审计</w:t>
      </w:r>
      <w:r>
        <w:rPr>
          <w:rFonts w:hAnsi="Garamond"/>
          <w:color w:val="000000"/>
          <w:szCs w:val="21"/>
          <w:highlight w:val="none"/>
        </w:rPr>
        <w:t>过程中，我们进行了审慎调查，实施了包括核查会计记录等我们认为必要的程序，并根据所取得的材料做出职业判断。我们相信，我们的鉴证工作为发表意见提供了合理的基础。</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现将××项目投资情况报告如下：</w:t>
      </w:r>
    </w:p>
    <w:p>
      <w:pPr>
        <w:pageBreakBefore w:val="0"/>
        <w:numPr>
          <w:ilvl w:val="0"/>
          <w:numId w:val="5"/>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项目概况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说明项目承担单位的基本情况：包括项目单位名称、所有制性质、主营业务、地址、法定代表人、项目联系人及联系方式。</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说明项目情况：包括项目名称、建设地点、项目性质、建设规模及内容、项目建设完成情况。</w:t>
      </w:r>
    </w:p>
    <w:p>
      <w:pPr>
        <w:pageBreakBefore w:val="0"/>
        <w:numPr>
          <w:ilvl w:val="0"/>
          <w:numId w:val="5"/>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截至20</w:t>
      </w:r>
      <w:r>
        <w:rPr>
          <w:rFonts w:hAnsi="Garamond" w:eastAsia="黑体"/>
          <w:color w:val="000000"/>
          <w:szCs w:val="21"/>
          <w:highlight w:val="none"/>
          <w:lang w:val="en"/>
        </w:rPr>
        <w:t>2</w:t>
      </w:r>
      <w:r>
        <w:rPr>
          <w:rFonts w:hint="eastAsia" w:hAnsi="Garamond" w:eastAsia="黑体"/>
          <w:color w:val="000000"/>
          <w:szCs w:val="21"/>
          <w:highlight w:val="none"/>
        </w:rPr>
        <w:t xml:space="preserve">  年  月  日项目投资情况</w:t>
      </w:r>
    </w:p>
    <w:p>
      <w:pPr>
        <w:pageBreakBefore w:val="0"/>
        <w:kinsoku/>
        <w:overflowPunct/>
        <w:topLinePunct w:val="0"/>
        <w:bidi w:val="0"/>
        <w:spacing w:before="157" w:beforeLines="50" w:after="157" w:afterLines="50" w:line="560" w:lineRule="exact"/>
        <w:ind w:firstLine="421" w:firstLineChars="200"/>
        <w:rPr>
          <w:rFonts w:ascii="宋体" w:hAnsi="宋体"/>
          <w:b/>
          <w:color w:val="000000"/>
          <w:szCs w:val="21"/>
          <w:highlight w:val="none"/>
        </w:rPr>
      </w:pPr>
      <w:r>
        <w:rPr>
          <w:rFonts w:hint="eastAsia" w:ascii="宋体" w:hAnsi="宋体"/>
          <w:b/>
          <w:color w:val="000000"/>
          <w:szCs w:val="21"/>
          <w:highlight w:val="none"/>
        </w:rPr>
        <w:t>（一）项目投资情况</w:t>
      </w:r>
    </w:p>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截至202 年 月 日止，项目投资情况如下：</w:t>
      </w:r>
    </w:p>
    <w:tbl>
      <w:tblPr>
        <w:tblStyle w:val="14"/>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733"/>
        <w:gridCol w:w="1733"/>
        <w:gridCol w:w="17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76"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项  目</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金额（万元）</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其中：已付款</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其中：尚未付款</w:t>
            </w:r>
          </w:p>
        </w:tc>
        <w:tc>
          <w:tcPr>
            <w:tcW w:w="1624"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土建投资</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设备投资</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b/>
                <w:bCs/>
                <w:color w:val="000000"/>
                <w:szCs w:val="21"/>
                <w:highlight w:val="none"/>
              </w:rPr>
              <w:t>合计</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bl>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按申请文件，或批复文件中对项目列明的投资类别，说明截至某基准日投资情况。</w:t>
      </w:r>
    </w:p>
    <w:p>
      <w:pPr>
        <w:pageBreakBefore w:val="0"/>
        <w:kinsoku/>
        <w:overflowPunct/>
        <w:topLinePunct w:val="0"/>
        <w:bidi w:val="0"/>
        <w:spacing w:before="157" w:beforeLines="50" w:after="157" w:afterLines="50" w:line="560" w:lineRule="exact"/>
        <w:ind w:firstLine="421" w:firstLineChars="200"/>
        <w:rPr>
          <w:rFonts w:ascii="宋体" w:hAnsi="宋体"/>
          <w:b/>
          <w:color w:val="000000"/>
          <w:szCs w:val="21"/>
          <w:highlight w:val="none"/>
        </w:rPr>
      </w:pPr>
      <w:r>
        <w:rPr>
          <w:rFonts w:hint="eastAsia" w:ascii="宋体" w:hAnsi="宋体"/>
          <w:b/>
          <w:color w:val="000000"/>
          <w:szCs w:val="21"/>
          <w:highlight w:val="none"/>
        </w:rPr>
        <w:t>（二）项目投资的核算情况</w:t>
      </w:r>
    </w:p>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截至202 年 月 日止，××项目投资   万元，××公司在法定财务账簿中分别记载于：固定资产    万元，在建工程    万元，存货   万元，无形资产    万元，开发支出   万元，管理费用   万元。</w:t>
      </w:r>
    </w:p>
    <w:p>
      <w:pPr>
        <w:pageBreakBefore w:val="0"/>
        <w:numPr>
          <w:ilvl w:val="0"/>
          <w:numId w:val="5"/>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实施××项目投约束条件的落实情况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逐项引述发改委或其它批复文件中，对项目投资的约束条件，并说明公司的落实情况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Ansi="Garamond"/>
          <w:color w:val="000000"/>
          <w:szCs w:val="21"/>
          <w:highlight w:val="none"/>
        </w:rPr>
        <w:t>附件：</w:t>
      </w:r>
      <w:r>
        <w:rPr>
          <w:rFonts w:hint="eastAsia" w:hAnsi="Garamond"/>
          <w:color w:val="000000"/>
          <w:szCs w:val="21"/>
          <w:highlight w:val="none"/>
        </w:rPr>
        <w:t>深圳××××有限公司××投资项目截至202年 月 日止的设备投资明细表</w:t>
      </w:r>
    </w:p>
    <w:p>
      <w:pPr>
        <w:pageBreakBefore w:val="0"/>
        <w:kinsoku/>
        <w:overflowPunct/>
        <w:topLinePunct w:val="0"/>
        <w:bidi w:val="0"/>
        <w:spacing w:before="157" w:beforeLines="50" w:after="157" w:afterLines="50" w:line="560" w:lineRule="exact"/>
        <w:ind w:firstLine="1050" w:firstLineChars="500"/>
        <w:rPr>
          <w:rFonts w:hAnsi="Garamond"/>
          <w:color w:val="000000"/>
          <w:szCs w:val="21"/>
          <w:highlight w:val="none"/>
        </w:rPr>
      </w:pPr>
      <w:r>
        <w:rPr>
          <w:rFonts w:hint="eastAsia" w:hAnsi="Garamond"/>
          <w:color w:val="000000"/>
          <w:szCs w:val="21"/>
          <w:highlight w:val="none"/>
        </w:rPr>
        <w:t>深圳××××有限公司××投资项目截至202年 月 日止的土建投资明细表</w:t>
      </w:r>
    </w:p>
    <w:p>
      <w:pPr>
        <w:pageBreakBefore w:val="0"/>
        <w:kinsoku/>
        <w:overflowPunct/>
        <w:topLinePunct w:val="0"/>
        <w:bidi w:val="0"/>
        <w:spacing w:before="236" w:beforeLines="75" w:after="157" w:afterLines="50" w:line="560" w:lineRule="exact"/>
        <w:ind w:firstLine="420" w:firstLineChars="200"/>
        <w:rPr>
          <w:color w:val="000000"/>
          <w:szCs w:val="21"/>
          <w:highlight w:val="none"/>
        </w:rPr>
      </w:pPr>
    </w:p>
    <w:p>
      <w:pPr>
        <w:pageBreakBefore w:val="0"/>
        <w:kinsoku/>
        <w:overflowPunct/>
        <w:topLinePunct w:val="0"/>
        <w:autoSpaceDE w:val="0"/>
        <w:autoSpaceDN w:val="0"/>
        <w:bidi w:val="0"/>
        <w:adjustRightInd w:val="0"/>
        <w:spacing w:line="560" w:lineRule="exact"/>
        <w:jc w:val="left"/>
        <w:rPr>
          <w:rFonts w:eastAsia="黑体"/>
          <w:color w:val="000000"/>
          <w:szCs w:val="21"/>
          <w:highlight w:val="none"/>
        </w:rPr>
      </w:pPr>
      <w:r>
        <w:rPr>
          <w:rFonts w:hint="eastAsia" w:eastAsia="黑体"/>
          <w:color w:val="000000"/>
          <w:szCs w:val="21"/>
          <w:highlight w:val="none"/>
        </w:rPr>
        <w:t>××××</w:t>
      </w:r>
      <w:r>
        <w:rPr>
          <w:rFonts w:eastAsia="黑体"/>
          <w:color w:val="000000"/>
          <w:szCs w:val="21"/>
          <w:highlight w:val="none"/>
        </w:rPr>
        <w:t xml:space="preserve">会计师事务所                            </w:t>
      </w:r>
      <w:r>
        <w:rPr>
          <w:rFonts w:eastAsia="黑体"/>
          <w:color w:val="000000"/>
          <w:kern w:val="0"/>
          <w:szCs w:val="21"/>
          <w:highlight w:val="none"/>
        </w:rPr>
        <w:t xml:space="preserve">中国注册会计师                </w:t>
      </w:r>
      <w:r>
        <w:rPr>
          <w:rFonts w:eastAsia="黑体"/>
          <w:color w:val="000000"/>
          <w:szCs w:val="21"/>
          <w:highlight w:val="none"/>
        </w:rPr>
        <w:t xml:space="preserve">  </w:t>
      </w:r>
    </w:p>
    <w:p>
      <w:pPr>
        <w:pageBreakBefore w:val="0"/>
        <w:kinsoku/>
        <w:overflowPunct/>
        <w:topLinePunct w:val="0"/>
        <w:bidi w:val="0"/>
        <w:spacing w:line="560" w:lineRule="exact"/>
        <w:ind w:firstLine="420" w:firstLineChars="200"/>
        <w:rPr>
          <w:rFonts w:eastAsia="黑体"/>
          <w:color w:val="000000"/>
          <w:szCs w:val="21"/>
          <w:highlight w:val="none"/>
        </w:rPr>
      </w:pPr>
      <w:r>
        <w:rPr>
          <w:rFonts w:eastAsia="黑体"/>
          <w:color w:val="000000"/>
          <w:szCs w:val="21"/>
          <w:highlight w:val="none"/>
        </w:rPr>
        <w:t xml:space="preserve">                                                                </w:t>
      </w:r>
    </w:p>
    <w:p>
      <w:pPr>
        <w:pageBreakBefore w:val="0"/>
        <w:kinsoku/>
        <w:overflowPunct/>
        <w:topLinePunct w:val="0"/>
        <w:bidi w:val="0"/>
        <w:spacing w:line="560" w:lineRule="exact"/>
        <w:ind w:firstLine="420" w:firstLineChars="200"/>
        <w:rPr>
          <w:rFonts w:eastAsia="黑体"/>
          <w:color w:val="000000"/>
          <w:szCs w:val="21"/>
          <w:highlight w:val="none"/>
        </w:rPr>
      </w:pPr>
      <w:r>
        <w:rPr>
          <w:rFonts w:eastAsia="黑体"/>
          <w:color w:val="000000"/>
          <w:szCs w:val="21"/>
          <w:highlight w:val="none"/>
        </w:rPr>
        <w:t xml:space="preserve">有限责任公司          </w:t>
      </w:r>
    </w:p>
    <w:p>
      <w:pPr>
        <w:pageBreakBefore w:val="0"/>
        <w:kinsoku/>
        <w:overflowPunct/>
        <w:topLinePunct w:val="0"/>
        <w:autoSpaceDE w:val="0"/>
        <w:autoSpaceDN w:val="0"/>
        <w:bidi w:val="0"/>
        <w:adjustRightInd w:val="0"/>
        <w:spacing w:line="560" w:lineRule="exact"/>
        <w:ind w:firstLine="5040" w:firstLineChars="2400"/>
        <w:jc w:val="left"/>
        <w:rPr>
          <w:rFonts w:eastAsia="黑体"/>
          <w:color w:val="000000"/>
          <w:kern w:val="0"/>
          <w:szCs w:val="21"/>
          <w:highlight w:val="none"/>
        </w:rPr>
      </w:pPr>
      <w:r>
        <w:rPr>
          <w:rFonts w:eastAsia="黑体"/>
          <w:color w:val="000000"/>
          <w:kern w:val="0"/>
          <w:szCs w:val="21"/>
          <w:highlight w:val="none"/>
        </w:rPr>
        <w:t xml:space="preserve">中国注册会计师                 </w:t>
      </w:r>
    </w:p>
    <w:p>
      <w:pPr>
        <w:pageBreakBefore w:val="0"/>
        <w:kinsoku/>
        <w:overflowPunct/>
        <w:topLinePunct w:val="0"/>
        <w:autoSpaceDE w:val="0"/>
        <w:autoSpaceDN w:val="0"/>
        <w:bidi w:val="0"/>
        <w:adjustRightInd w:val="0"/>
        <w:spacing w:line="560" w:lineRule="exact"/>
        <w:ind w:firstLine="630" w:firstLineChars="300"/>
        <w:jc w:val="left"/>
        <w:rPr>
          <w:rFonts w:eastAsia="黑体"/>
          <w:color w:val="000000"/>
          <w:kern w:val="0"/>
          <w:szCs w:val="21"/>
          <w:highlight w:val="none"/>
        </w:rPr>
      </w:pPr>
      <w:r>
        <w:rPr>
          <w:rFonts w:eastAsia="黑体"/>
          <w:color w:val="000000"/>
          <w:kern w:val="0"/>
          <w:szCs w:val="21"/>
          <w:highlight w:val="none"/>
        </w:rPr>
        <w:t xml:space="preserve">                                                              </w:t>
      </w:r>
    </w:p>
    <w:p>
      <w:pPr>
        <w:pageBreakBefore w:val="0"/>
        <w:kinsoku/>
        <w:overflowPunct/>
        <w:topLinePunct w:val="0"/>
        <w:autoSpaceDE w:val="0"/>
        <w:autoSpaceDN w:val="0"/>
        <w:bidi w:val="0"/>
        <w:adjustRightInd w:val="0"/>
        <w:spacing w:line="560" w:lineRule="exact"/>
        <w:ind w:firstLine="630" w:firstLineChars="300"/>
        <w:jc w:val="left"/>
        <w:rPr>
          <w:rFonts w:eastAsia="黑体"/>
          <w:color w:val="000000"/>
          <w:kern w:val="0"/>
          <w:szCs w:val="21"/>
          <w:highlight w:val="none"/>
        </w:rPr>
      </w:pPr>
    </w:p>
    <w:p>
      <w:pPr>
        <w:pageBreakBefore w:val="0"/>
        <w:kinsoku/>
        <w:overflowPunct/>
        <w:topLinePunct w:val="0"/>
        <w:autoSpaceDE w:val="0"/>
        <w:autoSpaceDN w:val="0"/>
        <w:bidi w:val="0"/>
        <w:adjustRightInd w:val="0"/>
        <w:spacing w:line="560" w:lineRule="exact"/>
        <w:ind w:firstLine="630" w:firstLineChars="300"/>
        <w:jc w:val="left"/>
        <w:rPr>
          <w:color w:val="000000"/>
          <w:szCs w:val="21"/>
          <w:highlight w:val="none"/>
        </w:rPr>
        <w:sectPr>
          <w:pgSz w:w="11906" w:h="16838"/>
          <w:pgMar w:top="1440" w:right="1803" w:bottom="1440" w:left="1803" w:header="851" w:footer="992" w:gutter="0"/>
          <w:pgNumType w:fmt="numberInDash"/>
          <w:cols w:space="720" w:num="1"/>
          <w:docGrid w:type="lines" w:linePitch="315" w:charSpace="0"/>
        </w:sectPr>
      </w:pPr>
      <w:r>
        <w:rPr>
          <w:rFonts w:eastAsia="黑体"/>
          <w:color w:val="000000"/>
          <w:kern w:val="0"/>
          <w:szCs w:val="21"/>
          <w:highlight w:val="none"/>
        </w:rPr>
        <w:t xml:space="preserve">中国  </w:t>
      </w:r>
      <w:r>
        <w:rPr>
          <w:rFonts w:hint="eastAsia" w:eastAsia="黑体"/>
          <w:color w:val="000000"/>
          <w:kern w:val="0"/>
          <w:szCs w:val="21"/>
          <w:highlight w:val="none"/>
        </w:rPr>
        <w:t>××</w:t>
      </w:r>
      <w:r>
        <w:rPr>
          <w:rFonts w:eastAsia="黑体"/>
          <w:color w:val="000000"/>
          <w:kern w:val="0"/>
          <w:szCs w:val="21"/>
          <w:highlight w:val="none"/>
        </w:rPr>
        <w:t xml:space="preserve">                                       20</w:t>
      </w:r>
      <w:r>
        <w:rPr>
          <w:rFonts w:hint="eastAsia" w:eastAsia="黑体"/>
          <w:color w:val="000000"/>
          <w:szCs w:val="21"/>
          <w:highlight w:val="none"/>
        </w:rPr>
        <w:t>2×</w:t>
      </w:r>
      <w:r>
        <w:rPr>
          <w:rFonts w:eastAsia="黑体"/>
          <w:color w:val="000000"/>
          <w:kern w:val="0"/>
          <w:szCs w:val="21"/>
          <w:highlight w:val="none"/>
        </w:rPr>
        <w:t>年</w:t>
      </w:r>
      <w:r>
        <w:rPr>
          <w:rFonts w:hint="eastAsia" w:eastAsia="黑体"/>
          <w:color w:val="000000"/>
          <w:kern w:val="0"/>
          <w:szCs w:val="21"/>
          <w:highlight w:val="none"/>
        </w:rPr>
        <w:t xml:space="preserve"> </w:t>
      </w:r>
      <w:r>
        <w:rPr>
          <w:rFonts w:eastAsia="黑体"/>
          <w:color w:val="000000"/>
          <w:kern w:val="0"/>
          <w:szCs w:val="21"/>
          <w:highlight w:val="none"/>
        </w:rPr>
        <w:t>月</w:t>
      </w:r>
      <w:r>
        <w:rPr>
          <w:rFonts w:hint="eastAsia" w:eastAsia="黑体"/>
          <w:color w:val="000000"/>
          <w:kern w:val="0"/>
          <w:szCs w:val="21"/>
          <w:highlight w:val="none"/>
        </w:rPr>
        <w:t xml:space="preserve">  </w:t>
      </w:r>
      <w:r>
        <w:rPr>
          <w:rFonts w:eastAsia="黑体"/>
          <w:color w:val="000000"/>
          <w:kern w:val="0"/>
          <w:szCs w:val="21"/>
          <w:highlight w:val="none"/>
        </w:rPr>
        <w:t>日</w:t>
      </w:r>
    </w:p>
    <w:p>
      <w:pPr>
        <w:pageBreakBefore w:val="0"/>
        <w:kinsoku/>
        <w:overflowPunct/>
        <w:topLinePunct w:val="0"/>
        <w:bidi w:val="0"/>
        <w:snapToGrid w:val="0"/>
        <w:spacing w:before="111" w:beforeLines="35" w:line="560" w:lineRule="exact"/>
        <w:rPr>
          <w:rFonts w:eastAsia="黑体"/>
          <w:color w:val="000000"/>
          <w:sz w:val="32"/>
          <w:szCs w:val="32"/>
          <w:highlight w:val="none"/>
        </w:rPr>
      </w:pPr>
    </w:p>
    <w:p>
      <w:pPr>
        <w:pageBreakBefore w:val="0"/>
        <w:kinsoku/>
        <w:overflowPunct/>
        <w:topLinePunct w:val="0"/>
        <w:bidi w:val="0"/>
        <w:snapToGrid w:val="0"/>
        <w:spacing w:before="319" w:beforeLines="100" w:after="159" w:afterLines="50" w:line="560" w:lineRule="exact"/>
        <w:jc w:val="center"/>
        <w:rPr>
          <w:rFonts w:hAnsi="Garamond" w:eastAsia="黑体"/>
          <w:color w:val="000000"/>
          <w:sz w:val="32"/>
          <w:szCs w:val="32"/>
          <w:highlight w:val="none"/>
        </w:rPr>
      </w:pPr>
      <w:r>
        <w:rPr>
          <w:rFonts w:hAnsi="Garamond" w:eastAsia="黑体"/>
          <w:color w:val="000000"/>
          <w:sz w:val="32"/>
          <w:szCs w:val="32"/>
          <w:highlight w:val="none"/>
        </w:rPr>
        <w:t>深圳市</w:t>
      </w:r>
      <w:r>
        <w:rPr>
          <w:rFonts w:hint="eastAsia" w:hAnsi="Garamond" w:eastAsia="黑体"/>
          <w:color w:val="000000"/>
          <w:sz w:val="32"/>
          <w:szCs w:val="32"/>
          <w:highlight w:val="none"/>
        </w:rPr>
        <w:t>××××</w:t>
      </w:r>
      <w:r>
        <w:rPr>
          <w:rFonts w:hAnsi="Garamond" w:eastAsia="黑体"/>
          <w:color w:val="000000"/>
          <w:sz w:val="32"/>
          <w:szCs w:val="32"/>
          <w:highlight w:val="none"/>
        </w:rPr>
        <w:t>有限公司</w:t>
      </w:r>
      <w:r>
        <w:rPr>
          <w:rFonts w:hint="eastAsia" w:hAnsi="Garamond" w:eastAsia="黑体"/>
          <w:color w:val="000000"/>
          <w:sz w:val="32"/>
          <w:szCs w:val="32"/>
          <w:highlight w:val="none"/>
        </w:rPr>
        <w:t>××投资项目土建投资明细表</w:t>
      </w:r>
    </w:p>
    <w:tbl>
      <w:tblPr>
        <w:tblStyle w:val="14"/>
        <w:tblW w:w="14675"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00"/>
        <w:gridCol w:w="800"/>
        <w:gridCol w:w="800"/>
        <w:gridCol w:w="1075"/>
        <w:gridCol w:w="2387"/>
        <w:gridCol w:w="1313"/>
        <w:gridCol w:w="1325"/>
        <w:gridCol w:w="1300"/>
        <w:gridCol w:w="1500"/>
        <w:gridCol w:w="737"/>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vAlign w:val="center"/>
          </w:tcPr>
          <w:p>
            <w:pPr>
              <w:pageBreakBefore w:val="0"/>
              <w:kinsoku/>
              <w:overflowPunct/>
              <w:topLinePunct w:val="0"/>
              <w:bidi w:val="0"/>
              <w:snapToGrid w:val="0"/>
              <w:spacing w:before="111" w:beforeLines="35" w:line="560" w:lineRule="exact"/>
              <w:jc w:val="center"/>
              <w:rPr>
                <w:rFonts w:ascii="宋体" w:hAnsi="宋体"/>
                <w:color w:val="000000"/>
                <w:szCs w:val="21"/>
                <w:highlight w:val="none"/>
              </w:rPr>
            </w:pPr>
            <w:r>
              <w:rPr>
                <w:rFonts w:hint="eastAsia" w:hAnsi="Garamond" w:eastAsia="黑体"/>
                <w:color w:val="000000"/>
                <w:szCs w:val="21"/>
                <w:highlight w:val="none"/>
              </w:rPr>
              <w:t>序号</w:t>
            </w:r>
          </w:p>
        </w:tc>
        <w:tc>
          <w:tcPr>
            <w:tcW w:w="1600" w:type="dxa"/>
            <w:vMerge w:val="restart"/>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项目名称</w:t>
            </w:r>
          </w:p>
        </w:tc>
        <w:tc>
          <w:tcPr>
            <w:tcW w:w="1600" w:type="dxa"/>
            <w:gridSpan w:val="2"/>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面积（万平</w:t>
            </w:r>
            <w:r>
              <w:rPr>
                <w:rFonts w:hint="eastAsia" w:hAnsi="Garamond" w:eastAsia="黑体"/>
                <w:color w:val="000000"/>
                <w:szCs w:val="21"/>
                <w:highlight w:val="none"/>
                <w:lang w:eastAsia="zh-CN"/>
              </w:rPr>
              <w:t>方</w:t>
            </w:r>
            <w:r>
              <w:rPr>
                <w:rFonts w:hint="eastAsia" w:hAnsi="Garamond" w:eastAsia="黑体"/>
                <w:color w:val="000000"/>
                <w:szCs w:val="21"/>
                <w:highlight w:val="none"/>
              </w:rPr>
              <w:t>米）</w:t>
            </w:r>
          </w:p>
        </w:tc>
        <w:tc>
          <w:tcPr>
            <w:tcW w:w="11012" w:type="dxa"/>
            <w:gridSpan w:val="8"/>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Merge w:val="continue"/>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宗地</w:t>
            </w: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建筑</w:t>
            </w: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土地价款</w:t>
            </w: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规划设计等前期工程费</w:t>
            </w: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基础设施费</w:t>
            </w: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建安工程费</w:t>
            </w: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公共配套费</w:t>
            </w: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开发间接费用</w:t>
            </w: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其它</w:t>
            </w: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bl>
    <w:p>
      <w:pPr>
        <w:pageBreakBefore w:val="0"/>
        <w:kinsoku/>
        <w:overflowPunct/>
        <w:topLinePunct w:val="0"/>
        <w:bidi w:val="0"/>
        <w:snapToGrid w:val="0"/>
        <w:spacing w:before="111" w:beforeLines="35" w:line="560" w:lineRule="exact"/>
        <w:jc w:val="center"/>
        <w:rPr>
          <w:rFonts w:eastAsia="黑体"/>
          <w:color w:val="000000"/>
          <w:sz w:val="32"/>
          <w:szCs w:val="32"/>
          <w:highlight w:val="none"/>
        </w:rPr>
      </w:pPr>
    </w:p>
    <w:p>
      <w:pPr>
        <w:pageBreakBefore w:val="0"/>
        <w:kinsoku/>
        <w:overflowPunct/>
        <w:topLinePunct w:val="0"/>
        <w:bidi w:val="0"/>
        <w:snapToGrid w:val="0"/>
        <w:spacing w:before="111" w:beforeLines="35" w:line="560" w:lineRule="exact"/>
        <w:jc w:val="center"/>
        <w:rPr>
          <w:rFonts w:eastAsia="黑体"/>
          <w:color w:val="000000"/>
          <w:sz w:val="32"/>
          <w:szCs w:val="32"/>
          <w:highlight w:val="none"/>
        </w:rPr>
      </w:pPr>
    </w:p>
    <w:p>
      <w:pPr>
        <w:pageBreakBefore w:val="0"/>
        <w:kinsoku/>
        <w:overflowPunct/>
        <w:topLinePunct w:val="0"/>
        <w:bidi w:val="0"/>
        <w:snapToGrid w:val="0"/>
        <w:spacing w:before="111" w:beforeLines="35" w:line="560" w:lineRule="exact"/>
        <w:rPr>
          <w:rFonts w:eastAsia="黑体"/>
          <w:color w:val="000000"/>
          <w:sz w:val="32"/>
          <w:szCs w:val="32"/>
          <w:highlight w:val="none"/>
        </w:rPr>
      </w:pPr>
    </w:p>
    <w:p>
      <w:pPr>
        <w:pageBreakBefore w:val="0"/>
        <w:kinsoku/>
        <w:overflowPunct/>
        <w:topLinePunct w:val="0"/>
        <w:bidi w:val="0"/>
        <w:snapToGrid w:val="0"/>
        <w:spacing w:before="319" w:beforeLines="100" w:after="159" w:afterLines="50" w:line="560" w:lineRule="exact"/>
        <w:jc w:val="center"/>
        <w:rPr>
          <w:rFonts w:hAnsi="Garamond" w:eastAsia="黑体"/>
          <w:color w:val="000000"/>
          <w:sz w:val="32"/>
          <w:szCs w:val="32"/>
          <w:highlight w:val="none"/>
        </w:rPr>
      </w:pPr>
      <w:r>
        <w:rPr>
          <w:rFonts w:hAnsi="Garamond" w:eastAsia="黑体"/>
          <w:color w:val="000000"/>
          <w:sz w:val="32"/>
          <w:szCs w:val="32"/>
          <w:highlight w:val="none"/>
        </w:rPr>
        <w:t>深圳市</w:t>
      </w:r>
      <w:r>
        <w:rPr>
          <w:rFonts w:hint="eastAsia" w:hAnsi="Garamond" w:eastAsia="黑体"/>
          <w:color w:val="000000"/>
          <w:sz w:val="32"/>
          <w:szCs w:val="32"/>
          <w:highlight w:val="none"/>
        </w:rPr>
        <w:t>××××</w:t>
      </w:r>
      <w:r>
        <w:rPr>
          <w:rFonts w:hAnsi="Garamond" w:eastAsia="黑体"/>
          <w:color w:val="000000"/>
          <w:sz w:val="32"/>
          <w:szCs w:val="32"/>
          <w:highlight w:val="none"/>
        </w:rPr>
        <w:t>有限公司</w:t>
      </w:r>
      <w:r>
        <w:rPr>
          <w:rFonts w:hint="eastAsia" w:hAnsi="Garamond" w:eastAsia="黑体"/>
          <w:color w:val="000000"/>
          <w:sz w:val="32"/>
          <w:szCs w:val="32"/>
          <w:highlight w:val="none"/>
        </w:rPr>
        <w:t>××投资项目设备投资明细表</w:t>
      </w:r>
    </w:p>
    <w:tbl>
      <w:tblPr>
        <w:tblStyle w:val="14"/>
        <w:tblW w:w="14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825"/>
        <w:gridCol w:w="1988"/>
        <w:gridCol w:w="1912"/>
        <w:gridCol w:w="650"/>
        <w:gridCol w:w="1263"/>
        <w:gridCol w:w="1162"/>
        <w:gridCol w:w="1888"/>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dxa"/>
            <w:vAlign w:val="center"/>
          </w:tcPr>
          <w:p>
            <w:pPr>
              <w:pageBreakBefore w:val="0"/>
              <w:kinsoku/>
              <w:overflowPunct/>
              <w:topLinePunct w:val="0"/>
              <w:bidi w:val="0"/>
              <w:snapToGrid w:val="0"/>
              <w:spacing w:line="560" w:lineRule="exact"/>
              <w:jc w:val="center"/>
              <w:rPr>
                <w:rFonts w:ascii="宋体" w:hAnsi="宋体"/>
                <w:color w:val="000000"/>
                <w:szCs w:val="21"/>
                <w:highlight w:val="none"/>
              </w:rPr>
            </w:pPr>
            <w:r>
              <w:rPr>
                <w:rFonts w:hint="eastAsia" w:hAnsi="Garamond" w:eastAsia="黑体"/>
                <w:color w:val="000000"/>
                <w:szCs w:val="21"/>
                <w:highlight w:val="none"/>
              </w:rPr>
              <w:t>序号</w:t>
            </w:r>
          </w:p>
        </w:tc>
        <w:tc>
          <w:tcPr>
            <w:tcW w:w="1825"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设备名称</w:t>
            </w:r>
          </w:p>
        </w:tc>
        <w:tc>
          <w:tcPr>
            <w:tcW w:w="1988"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型号</w:t>
            </w:r>
          </w:p>
        </w:tc>
        <w:tc>
          <w:tcPr>
            <w:tcW w:w="1912"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生产厂家</w:t>
            </w:r>
          </w:p>
        </w:tc>
        <w:tc>
          <w:tcPr>
            <w:tcW w:w="650"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数量</w:t>
            </w:r>
          </w:p>
        </w:tc>
        <w:tc>
          <w:tcPr>
            <w:tcW w:w="1263"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单价</w:t>
            </w:r>
          </w:p>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（万元）</w:t>
            </w:r>
          </w:p>
        </w:tc>
        <w:tc>
          <w:tcPr>
            <w:tcW w:w="1162"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总价</w:t>
            </w:r>
          </w:p>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（万元）</w:t>
            </w:r>
          </w:p>
        </w:tc>
        <w:tc>
          <w:tcPr>
            <w:tcW w:w="1888"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存放地点</w:t>
            </w:r>
          </w:p>
        </w:tc>
        <w:tc>
          <w:tcPr>
            <w:tcW w:w="3350"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使用状况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bl>
    <w:p>
      <w:pPr>
        <w:pageBreakBefore w:val="0"/>
        <w:kinsoku/>
        <w:overflowPunct/>
        <w:topLinePunct w:val="0"/>
        <w:bidi w:val="0"/>
        <w:snapToGrid w:val="0"/>
        <w:spacing w:before="111" w:beforeLines="35" w:line="560" w:lineRule="exact"/>
        <w:rPr>
          <w:rFonts w:eastAsia="黑体"/>
          <w:color w:val="000000"/>
          <w:sz w:val="32"/>
          <w:szCs w:val="32"/>
          <w:highlight w:val="none"/>
        </w:rPr>
        <w:sectPr>
          <w:pgSz w:w="16838" w:h="11906" w:orient="landscape"/>
          <w:pgMar w:top="1803" w:right="1440" w:bottom="1803" w:left="1440" w:header="851" w:footer="992" w:gutter="0"/>
          <w:pgNumType w:fmt="numberInDash"/>
          <w:cols w:space="720" w:num="1"/>
          <w:docGrid w:type="lines" w:linePitch="319" w:charSpace="0"/>
        </w:sectPr>
      </w:pPr>
    </w:p>
    <w:p>
      <w:pPr>
        <w:pStyle w:val="9"/>
        <w:rPr>
          <w:rFonts w:hint="eastAsia" w:ascii="仿宋_GB2312" w:eastAsia="仿宋_GB2312"/>
          <w:color w:val="auto"/>
          <w:sz w:val="32"/>
          <w:szCs w:val="32"/>
          <w:highlight w:val="none"/>
          <w:lang w:val="en-US" w:eastAsia="zh-CN"/>
        </w:rPr>
      </w:pPr>
      <w:r>
        <w:rPr>
          <w:rFonts w:hint="eastAsia" w:ascii="仿宋_GB2312" w:eastAsia="仿宋_GB2312"/>
          <w:sz w:val="32"/>
          <w:szCs w:val="32"/>
          <w:highlight w:val="none"/>
        </w:rPr>
        <w:t>附录</w:t>
      </w:r>
      <w:r>
        <w:rPr>
          <w:rFonts w:hint="eastAsia" w:ascii="仿宋_GB2312" w:eastAsia="仿宋_GB2312"/>
          <w:sz w:val="32"/>
          <w:szCs w:val="32"/>
          <w:highlight w:val="none"/>
          <w:lang w:val="en-US" w:eastAsia="zh-CN"/>
        </w:rPr>
        <w:t>3</w:t>
      </w:r>
    </w:p>
    <w:p>
      <w:pPr>
        <w:pStyle w:val="9"/>
        <w:jc w:val="center"/>
        <w:rPr>
          <w:rFonts w:hint="eastAsia" w:ascii="仿宋" w:hAnsi="仿宋" w:eastAsia="仿宋" w:cs="Times New Roman"/>
          <w:b/>
          <w:bCs/>
          <w:color w:val="auto"/>
          <w:kern w:val="2"/>
          <w:sz w:val="36"/>
          <w:szCs w:val="32"/>
          <w:highlight w:val="none"/>
          <w:lang w:val="en-US" w:eastAsia="zh-CN" w:bidi="ar-SA"/>
        </w:rPr>
      </w:pPr>
      <w:r>
        <w:rPr>
          <w:rFonts w:hint="eastAsia" w:ascii="仿宋" w:hAnsi="仿宋" w:eastAsia="仿宋" w:cs="Times New Roman"/>
          <w:b/>
          <w:bCs/>
          <w:color w:val="auto"/>
          <w:kern w:val="2"/>
          <w:sz w:val="36"/>
          <w:szCs w:val="32"/>
          <w:highlight w:val="none"/>
          <w:lang w:val="en-US" w:eastAsia="zh-CN" w:bidi="ar-SA"/>
        </w:rPr>
        <w:t>项目示范内容观摩方案</w:t>
      </w:r>
    </w:p>
    <w:p>
      <w:pPr>
        <w:pStyle w:val="9"/>
        <w:jc w:val="center"/>
        <w:rPr>
          <w:rFonts w:hint="eastAsia" w:ascii="仿宋" w:hAnsi="仿宋" w:eastAsia="仿宋" w:cs="Times New Roman"/>
          <w:b/>
          <w:bCs/>
          <w:color w:val="auto"/>
          <w:kern w:val="2"/>
          <w:sz w:val="36"/>
          <w:szCs w:val="32"/>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一、组织方案</w:t>
      </w: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二、项目观摩路线</w:t>
      </w: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p>
    <w:p>
      <w:pPr>
        <w:pStyle w:val="9"/>
        <w:jc w:val="left"/>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三、</w:t>
      </w:r>
      <w:r>
        <w:rPr>
          <w:rFonts w:hint="eastAsia" w:ascii="仿宋_GB2312" w:hAnsi="仿宋_GB2312" w:eastAsia="仿宋_GB2312" w:cs="仿宋_GB2312"/>
          <w:color w:val="000000"/>
          <w:sz w:val="28"/>
          <w:szCs w:val="28"/>
          <w:highlight w:val="none"/>
        </w:rPr>
        <w:t>亮点介绍</w:t>
      </w:r>
    </w:p>
    <w:p>
      <w:pPr>
        <w:rPr>
          <w:highlight w:val="none"/>
        </w:rPr>
      </w:pPr>
    </w:p>
    <w:p>
      <w:pPr>
        <w:pageBreakBefore w:val="0"/>
        <w:kinsoku/>
        <w:overflowPunct/>
        <w:topLinePunct w:val="0"/>
        <w:bidi w:val="0"/>
        <w:snapToGrid w:val="0"/>
        <w:spacing w:before="111" w:beforeLines="35" w:line="560" w:lineRule="exact"/>
        <w:jc w:val="center"/>
        <w:rPr>
          <w:rFonts w:eastAsia="黑体"/>
          <w:color w:val="000000"/>
          <w:sz w:val="32"/>
          <w:szCs w:val="32"/>
          <w:highlight w:val="none"/>
        </w:rPr>
      </w:pPr>
    </w:p>
    <w:p>
      <w:pPr>
        <w:pageBreakBefore w:val="0"/>
        <w:kinsoku/>
        <w:overflowPunct/>
        <w:topLinePunct w:val="0"/>
        <w:bidi w:val="0"/>
        <w:spacing w:line="560" w:lineRule="exact"/>
        <w:rPr>
          <w:rFonts w:ascii="仿宋_GB2312" w:eastAsia="仿宋_GB2312"/>
          <w:sz w:val="22"/>
          <w:szCs w:val="22"/>
          <w:highlight w:val="none"/>
        </w:rPr>
      </w:pPr>
    </w:p>
    <w:sectPr>
      <w:footerReference r:id="rId4"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amascus Semi Bold">
    <w:altName w:val="URW Bookman"/>
    <w:panose1 w:val="00000000000000000000"/>
    <w:charset w:val="00"/>
    <w:family w:val="auto"/>
    <w:pitch w:val="default"/>
    <w:sig w:usb0="00000000" w:usb1="00000000" w:usb2="00000080" w:usb3="00000000" w:csb0="00000001" w:csb1="00000000"/>
  </w:font>
  <w:font w:name="URW Bookman">
    <w:panose1 w:val="00000000000000000000"/>
    <w:charset w:val="00"/>
    <w:family w:val="auto"/>
    <w:pitch w:val="default"/>
    <w:sig w:usb0="00000000" w:usb1="00000000" w:usb2="00000000" w:usb3="00000000" w:csb0="00000000" w:csb1="00000000"/>
  </w:font>
  <w:font w:name="Garamond">
    <w:altName w:val="FreeSerif"/>
    <w:panose1 w:val="02020404030301010803"/>
    <w:charset w:val="00"/>
    <w:family w:val="roman"/>
    <w:pitch w:val="default"/>
    <w:sig w:usb0="00000000" w:usb1="00000000" w:usb2="00000000" w:usb3="00000000" w:csb0="0000009F" w:csb1="DFD70000"/>
  </w:font>
  <w:font w:name="FreeSerif">
    <w:panose1 w:val="02020603050405020304"/>
    <w:charset w:val="00"/>
    <w:family w:val="auto"/>
    <w:pitch w:val="default"/>
    <w:sig w:usb0="E59FAFFF" w:usb1="C200FDFF" w:usb2="43501B29" w:usb3="04000043" w:csb0="600101FF" w:csb1="FFFF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Rectangle 1025"/>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1">
                      <a:spAutoFit/>
                    </wps:bodyPr>
                  </wps:wsp>
                </a:graphicData>
              </a:graphic>
            </wp:anchor>
          </w:drawing>
        </mc:Choice>
        <mc:Fallback>
          <w:pict>
            <v:rect id="Rectangle 1025" o:spid="_x0000_s1026" o:spt="1" style="position:absolute;left:0pt;margin-top:0pt;height:10.35pt;width:19.5pt;mso-position-horizontal:center;mso-position-horizontal-relative:margin;mso-wrap-style:none;z-index:251659264;mso-width-relative:page;mso-height-relative:page;" filled="f" stroked="f" coordsize="21600,21600" o:gfxdata="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g6+Rr0QAA&#10;AAMBAAAPAAAAAAAAAAEAIAAAADgAAABkcnMvZG93bnJldi54bWxQSwECFAAUAAAACACHTuJAzWx/&#10;c9YBAADDAwAADgAAAAAAAAABACAAAAA2AQAAZHJzL2Uyb0RvYy54bWxQSwUGAAAAAAYABgBZAQAA&#10;fg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5"/>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10.3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DS/0sLQAAAAAwEAAA8AAAAAAAAAAQAgAAAAOAAAAGRycy9kb3ducmV2LnhtbFBLAQIU&#10;ABQAAAAIAIdO4kCo5aH35QEAAMMDAAAOAAAAAAAAAAEAIAAAADUBAABkcnMvZTJvRG9jLnhtbFBL&#10;BQYAAAAABgAGAFkBAACM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58FE8"/>
    <w:multiLevelType w:val="singleLevel"/>
    <w:tmpl w:val="BD358FE8"/>
    <w:lvl w:ilvl="0" w:tentative="0">
      <w:start w:val="2"/>
      <w:numFmt w:val="decimal"/>
      <w:suff w:val="nothing"/>
      <w:lvlText w:val="%1、"/>
      <w:lvlJc w:val="left"/>
    </w:lvl>
  </w:abstractNum>
  <w:abstractNum w:abstractNumId="1">
    <w:nsid w:val="F31B1C36"/>
    <w:multiLevelType w:val="singleLevel"/>
    <w:tmpl w:val="F31B1C36"/>
    <w:lvl w:ilvl="0" w:tentative="0">
      <w:start w:val="1"/>
      <w:numFmt w:val="chineseCounting"/>
      <w:suff w:val="nothing"/>
      <w:lvlText w:val="（%1）"/>
      <w:lvlJc w:val="left"/>
      <w:pPr>
        <w:ind w:left="0" w:firstLine="420"/>
      </w:pPr>
      <w:rPr>
        <w:rFonts w:hint="eastAsia"/>
      </w:rPr>
    </w:lvl>
  </w:abstractNum>
  <w:abstractNum w:abstractNumId="2">
    <w:nsid w:val="16671375"/>
    <w:multiLevelType w:val="singleLevel"/>
    <w:tmpl w:val="16671375"/>
    <w:lvl w:ilvl="0" w:tentative="0">
      <w:start w:val="1"/>
      <w:numFmt w:val="chineseCounting"/>
      <w:suff w:val="nothing"/>
      <w:lvlText w:val="%1、"/>
      <w:lvlJc w:val="left"/>
      <w:rPr>
        <w:rFonts w:hint="eastAsia"/>
      </w:rPr>
    </w:lvl>
  </w:abstractNum>
  <w:abstractNum w:abstractNumId="3">
    <w:nsid w:val="5AAB27B2"/>
    <w:multiLevelType w:val="singleLevel"/>
    <w:tmpl w:val="5AAB27B2"/>
    <w:lvl w:ilvl="0" w:tentative="0">
      <w:start w:val="4"/>
      <w:numFmt w:val="chineseCounting"/>
      <w:suff w:val="nothing"/>
      <w:lvlText w:val="（%1）"/>
      <w:lvlJc w:val="left"/>
      <w:pPr>
        <w:ind w:left="0" w:firstLine="0"/>
      </w:pPr>
    </w:lvl>
  </w:abstractNum>
  <w:abstractNum w:abstractNumId="4">
    <w:nsid w:val="766C50B5"/>
    <w:multiLevelType w:val="multilevel"/>
    <w:tmpl w:val="766C50B5"/>
    <w:lvl w:ilvl="0" w:tentative="0">
      <w:start w:val="1"/>
      <w:numFmt w:val="japaneseCounting"/>
      <w:lvlText w:val="%1、"/>
      <w:lvlJc w:val="left"/>
      <w:pPr>
        <w:tabs>
          <w:tab w:val="left" w:pos="1245"/>
        </w:tabs>
        <w:ind w:left="1245" w:hanging="72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num w:numId="1">
    <w:abstractNumId w:val="2"/>
  </w:num>
  <w:num w:numId="2">
    <w:abstractNumId w:val="1"/>
  </w:num>
  <w:num w:numId="3">
    <w:abstractNumId w:val="3"/>
    <w:lvlOverride w:ilvl="0">
      <w:startOverride w:val="4"/>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Njc1YTg5YWYzMTlhYzJjNDE5NmJiNzBmYzc3ZjIifQ=="/>
  </w:docVars>
  <w:rsids>
    <w:rsidRoot w:val="000A211D"/>
    <w:rsid w:val="00002C27"/>
    <w:rsid w:val="000037F9"/>
    <w:rsid w:val="00055AD9"/>
    <w:rsid w:val="00065865"/>
    <w:rsid w:val="00091311"/>
    <w:rsid w:val="000A211D"/>
    <w:rsid w:val="000C2C28"/>
    <w:rsid w:val="000C4A00"/>
    <w:rsid w:val="000F35A4"/>
    <w:rsid w:val="00131274"/>
    <w:rsid w:val="0013180A"/>
    <w:rsid w:val="0016630D"/>
    <w:rsid w:val="00167CF6"/>
    <w:rsid w:val="0017456B"/>
    <w:rsid w:val="00176C2F"/>
    <w:rsid w:val="001941CD"/>
    <w:rsid w:val="00195933"/>
    <w:rsid w:val="001C0E07"/>
    <w:rsid w:val="002036A8"/>
    <w:rsid w:val="00223845"/>
    <w:rsid w:val="002354C5"/>
    <w:rsid w:val="002456CC"/>
    <w:rsid w:val="00256489"/>
    <w:rsid w:val="0029027F"/>
    <w:rsid w:val="002A1A3F"/>
    <w:rsid w:val="002C0C5B"/>
    <w:rsid w:val="002E06B5"/>
    <w:rsid w:val="002F4F15"/>
    <w:rsid w:val="00305152"/>
    <w:rsid w:val="003246DD"/>
    <w:rsid w:val="00331537"/>
    <w:rsid w:val="00340FB0"/>
    <w:rsid w:val="00351550"/>
    <w:rsid w:val="003640FA"/>
    <w:rsid w:val="00370AE1"/>
    <w:rsid w:val="003C2679"/>
    <w:rsid w:val="003E69C6"/>
    <w:rsid w:val="003F7381"/>
    <w:rsid w:val="004002F1"/>
    <w:rsid w:val="0040187D"/>
    <w:rsid w:val="0040495E"/>
    <w:rsid w:val="00421463"/>
    <w:rsid w:val="00421839"/>
    <w:rsid w:val="00422BB2"/>
    <w:rsid w:val="00430132"/>
    <w:rsid w:val="00435332"/>
    <w:rsid w:val="00436F8B"/>
    <w:rsid w:val="00450DAC"/>
    <w:rsid w:val="00456DAD"/>
    <w:rsid w:val="0045774E"/>
    <w:rsid w:val="00466471"/>
    <w:rsid w:val="004901C0"/>
    <w:rsid w:val="004A056B"/>
    <w:rsid w:val="004A40BC"/>
    <w:rsid w:val="004C066E"/>
    <w:rsid w:val="004C60C5"/>
    <w:rsid w:val="004F1DBD"/>
    <w:rsid w:val="004F6F13"/>
    <w:rsid w:val="00514C60"/>
    <w:rsid w:val="00516B42"/>
    <w:rsid w:val="00517466"/>
    <w:rsid w:val="005332CF"/>
    <w:rsid w:val="00562BF8"/>
    <w:rsid w:val="00570D20"/>
    <w:rsid w:val="0057532A"/>
    <w:rsid w:val="005A7089"/>
    <w:rsid w:val="005C59A1"/>
    <w:rsid w:val="005F7A1C"/>
    <w:rsid w:val="0060518E"/>
    <w:rsid w:val="0065722D"/>
    <w:rsid w:val="0066307E"/>
    <w:rsid w:val="006B41DC"/>
    <w:rsid w:val="006E1D4A"/>
    <w:rsid w:val="006F6648"/>
    <w:rsid w:val="006F6C9E"/>
    <w:rsid w:val="007035FD"/>
    <w:rsid w:val="00711D3D"/>
    <w:rsid w:val="00743A98"/>
    <w:rsid w:val="00743E52"/>
    <w:rsid w:val="007474EC"/>
    <w:rsid w:val="00755788"/>
    <w:rsid w:val="00791498"/>
    <w:rsid w:val="007924D5"/>
    <w:rsid w:val="007E3763"/>
    <w:rsid w:val="008026D5"/>
    <w:rsid w:val="00805791"/>
    <w:rsid w:val="00810931"/>
    <w:rsid w:val="008169BB"/>
    <w:rsid w:val="0082299D"/>
    <w:rsid w:val="008417CF"/>
    <w:rsid w:val="00853B5D"/>
    <w:rsid w:val="00862789"/>
    <w:rsid w:val="00886B88"/>
    <w:rsid w:val="008A1CD6"/>
    <w:rsid w:val="008C10F5"/>
    <w:rsid w:val="008D367C"/>
    <w:rsid w:val="00903D09"/>
    <w:rsid w:val="00931A9D"/>
    <w:rsid w:val="00933B1E"/>
    <w:rsid w:val="00972D09"/>
    <w:rsid w:val="0098179A"/>
    <w:rsid w:val="009819E6"/>
    <w:rsid w:val="00983F93"/>
    <w:rsid w:val="009A2944"/>
    <w:rsid w:val="009A2E94"/>
    <w:rsid w:val="009A3076"/>
    <w:rsid w:val="009D7C42"/>
    <w:rsid w:val="00A12995"/>
    <w:rsid w:val="00A15D12"/>
    <w:rsid w:val="00A2529B"/>
    <w:rsid w:val="00A36A69"/>
    <w:rsid w:val="00AC7056"/>
    <w:rsid w:val="00AD702C"/>
    <w:rsid w:val="00B0711C"/>
    <w:rsid w:val="00B5604E"/>
    <w:rsid w:val="00B56433"/>
    <w:rsid w:val="00B6222C"/>
    <w:rsid w:val="00B715F1"/>
    <w:rsid w:val="00BD4CF5"/>
    <w:rsid w:val="00C07BD7"/>
    <w:rsid w:val="00C16E34"/>
    <w:rsid w:val="00C21222"/>
    <w:rsid w:val="00C23DAC"/>
    <w:rsid w:val="00C27260"/>
    <w:rsid w:val="00C3206C"/>
    <w:rsid w:val="00C33B8B"/>
    <w:rsid w:val="00C36A34"/>
    <w:rsid w:val="00C769C6"/>
    <w:rsid w:val="00C846E5"/>
    <w:rsid w:val="00C867F0"/>
    <w:rsid w:val="00C9448F"/>
    <w:rsid w:val="00CA74F5"/>
    <w:rsid w:val="00CF7090"/>
    <w:rsid w:val="00D20BC5"/>
    <w:rsid w:val="00D211EF"/>
    <w:rsid w:val="00D31EA1"/>
    <w:rsid w:val="00D622BD"/>
    <w:rsid w:val="00DB5807"/>
    <w:rsid w:val="00DC187A"/>
    <w:rsid w:val="00DD0BB8"/>
    <w:rsid w:val="00DE3652"/>
    <w:rsid w:val="00E021C3"/>
    <w:rsid w:val="00E14891"/>
    <w:rsid w:val="00E550F1"/>
    <w:rsid w:val="00E778E0"/>
    <w:rsid w:val="00E77E6A"/>
    <w:rsid w:val="00E92739"/>
    <w:rsid w:val="00EC208C"/>
    <w:rsid w:val="00ED4CD2"/>
    <w:rsid w:val="00F02876"/>
    <w:rsid w:val="00F108CC"/>
    <w:rsid w:val="00F13488"/>
    <w:rsid w:val="00F22E45"/>
    <w:rsid w:val="00F510F3"/>
    <w:rsid w:val="00F871D9"/>
    <w:rsid w:val="00FB0F41"/>
    <w:rsid w:val="00FB5B36"/>
    <w:rsid w:val="00FB760D"/>
    <w:rsid w:val="00FC708F"/>
    <w:rsid w:val="025C4809"/>
    <w:rsid w:val="02A1111E"/>
    <w:rsid w:val="03251466"/>
    <w:rsid w:val="046D55AE"/>
    <w:rsid w:val="04B006FF"/>
    <w:rsid w:val="07E55609"/>
    <w:rsid w:val="08AD2CDD"/>
    <w:rsid w:val="09586CD7"/>
    <w:rsid w:val="0B4B7015"/>
    <w:rsid w:val="0B632D54"/>
    <w:rsid w:val="0B9863E7"/>
    <w:rsid w:val="0C7E4A94"/>
    <w:rsid w:val="0CB90E26"/>
    <w:rsid w:val="0D7A3E16"/>
    <w:rsid w:val="0E950B3D"/>
    <w:rsid w:val="0EC84C44"/>
    <w:rsid w:val="0F0C01AE"/>
    <w:rsid w:val="0FF25EBB"/>
    <w:rsid w:val="101D790A"/>
    <w:rsid w:val="11750E0B"/>
    <w:rsid w:val="12942106"/>
    <w:rsid w:val="12D54662"/>
    <w:rsid w:val="13907C5C"/>
    <w:rsid w:val="14526279"/>
    <w:rsid w:val="147D55F7"/>
    <w:rsid w:val="14FD1ED3"/>
    <w:rsid w:val="15105485"/>
    <w:rsid w:val="16804EAD"/>
    <w:rsid w:val="176C53FF"/>
    <w:rsid w:val="179709DE"/>
    <w:rsid w:val="180A31AF"/>
    <w:rsid w:val="19274F96"/>
    <w:rsid w:val="19C562F8"/>
    <w:rsid w:val="1A2D4DA1"/>
    <w:rsid w:val="1E2D5138"/>
    <w:rsid w:val="1EC64618"/>
    <w:rsid w:val="1F2F6BE6"/>
    <w:rsid w:val="1F7F466A"/>
    <w:rsid w:val="20062169"/>
    <w:rsid w:val="20BD44BC"/>
    <w:rsid w:val="21FB033D"/>
    <w:rsid w:val="229A3466"/>
    <w:rsid w:val="22B26945"/>
    <w:rsid w:val="23356984"/>
    <w:rsid w:val="247E6D98"/>
    <w:rsid w:val="265760E8"/>
    <w:rsid w:val="26891582"/>
    <w:rsid w:val="269913A1"/>
    <w:rsid w:val="26FA52AB"/>
    <w:rsid w:val="28315657"/>
    <w:rsid w:val="298363A6"/>
    <w:rsid w:val="2A7C04F4"/>
    <w:rsid w:val="2A7F7ABF"/>
    <w:rsid w:val="2AF622D9"/>
    <w:rsid w:val="2AF62A2B"/>
    <w:rsid w:val="2DB25635"/>
    <w:rsid w:val="2E1D74D0"/>
    <w:rsid w:val="2F5E77AE"/>
    <w:rsid w:val="2F7B0F16"/>
    <w:rsid w:val="3381789F"/>
    <w:rsid w:val="33CB74FA"/>
    <w:rsid w:val="34873F86"/>
    <w:rsid w:val="36C84394"/>
    <w:rsid w:val="37293725"/>
    <w:rsid w:val="37835383"/>
    <w:rsid w:val="382320F1"/>
    <w:rsid w:val="3969335F"/>
    <w:rsid w:val="3F5900F8"/>
    <w:rsid w:val="3F7F5C76"/>
    <w:rsid w:val="4051347A"/>
    <w:rsid w:val="42CF2A06"/>
    <w:rsid w:val="44022AC4"/>
    <w:rsid w:val="46110E3A"/>
    <w:rsid w:val="47604E29"/>
    <w:rsid w:val="47B43CD0"/>
    <w:rsid w:val="47D53E94"/>
    <w:rsid w:val="484511D1"/>
    <w:rsid w:val="49AD26E9"/>
    <w:rsid w:val="4B0C4451"/>
    <w:rsid w:val="4B55797D"/>
    <w:rsid w:val="4B980F4D"/>
    <w:rsid w:val="4BE56F53"/>
    <w:rsid w:val="4C061D89"/>
    <w:rsid w:val="4C236EDC"/>
    <w:rsid w:val="4D1871FD"/>
    <w:rsid w:val="4E136B2A"/>
    <w:rsid w:val="4E9D1E9D"/>
    <w:rsid w:val="4F3C6244"/>
    <w:rsid w:val="4F9F566B"/>
    <w:rsid w:val="503C24D5"/>
    <w:rsid w:val="51CE2542"/>
    <w:rsid w:val="51FED7AB"/>
    <w:rsid w:val="52003501"/>
    <w:rsid w:val="5229273D"/>
    <w:rsid w:val="542B1BC3"/>
    <w:rsid w:val="55E136F8"/>
    <w:rsid w:val="563D45AD"/>
    <w:rsid w:val="57FDD943"/>
    <w:rsid w:val="5860315D"/>
    <w:rsid w:val="5970774F"/>
    <w:rsid w:val="59C93D0C"/>
    <w:rsid w:val="5A046115"/>
    <w:rsid w:val="5AD41D9B"/>
    <w:rsid w:val="5B341D0F"/>
    <w:rsid w:val="5BEB9480"/>
    <w:rsid w:val="5CFB5037"/>
    <w:rsid w:val="5DA55DB8"/>
    <w:rsid w:val="5E096E70"/>
    <w:rsid w:val="5EFA7CCD"/>
    <w:rsid w:val="5F501E73"/>
    <w:rsid w:val="5F65533F"/>
    <w:rsid w:val="5F7F34A4"/>
    <w:rsid w:val="5FDFB79E"/>
    <w:rsid w:val="5FFB66D6"/>
    <w:rsid w:val="603E4649"/>
    <w:rsid w:val="620A60D7"/>
    <w:rsid w:val="633D0EC0"/>
    <w:rsid w:val="63DA57EF"/>
    <w:rsid w:val="64741A67"/>
    <w:rsid w:val="651D7A0B"/>
    <w:rsid w:val="67876CB8"/>
    <w:rsid w:val="6812219A"/>
    <w:rsid w:val="682432E1"/>
    <w:rsid w:val="68DE4E54"/>
    <w:rsid w:val="69B91088"/>
    <w:rsid w:val="6A8D2838"/>
    <w:rsid w:val="6BBC79A6"/>
    <w:rsid w:val="6BDF7CE8"/>
    <w:rsid w:val="6BFFAC50"/>
    <w:rsid w:val="6DC9002B"/>
    <w:rsid w:val="6E2A2913"/>
    <w:rsid w:val="6E930639"/>
    <w:rsid w:val="6FA7E40C"/>
    <w:rsid w:val="6FD16672"/>
    <w:rsid w:val="70E668D8"/>
    <w:rsid w:val="72220251"/>
    <w:rsid w:val="72BA6194"/>
    <w:rsid w:val="74072A45"/>
    <w:rsid w:val="75FF55EF"/>
    <w:rsid w:val="765E641A"/>
    <w:rsid w:val="773F63AA"/>
    <w:rsid w:val="794FE5B1"/>
    <w:rsid w:val="7A500573"/>
    <w:rsid w:val="7AAC0DEC"/>
    <w:rsid w:val="7ACF251B"/>
    <w:rsid w:val="7AEFCC45"/>
    <w:rsid w:val="7BA331FE"/>
    <w:rsid w:val="7C0308AB"/>
    <w:rsid w:val="7C6E60E7"/>
    <w:rsid w:val="7D5F95D4"/>
    <w:rsid w:val="7E7BDB16"/>
    <w:rsid w:val="7EF1F8AF"/>
    <w:rsid w:val="7F5AE881"/>
    <w:rsid w:val="7FBE5C43"/>
    <w:rsid w:val="7FBEA9D4"/>
    <w:rsid w:val="7FBF7CEF"/>
    <w:rsid w:val="7FBF8BFB"/>
    <w:rsid w:val="7FD64EE6"/>
    <w:rsid w:val="7FDEB33E"/>
    <w:rsid w:val="7FE2108A"/>
    <w:rsid w:val="7FEEA420"/>
    <w:rsid w:val="9DEF43CF"/>
    <w:rsid w:val="9DEFAC06"/>
    <w:rsid w:val="9FD37822"/>
    <w:rsid w:val="AB6FF121"/>
    <w:rsid w:val="B7DE97C4"/>
    <w:rsid w:val="BCFDDD03"/>
    <w:rsid w:val="BDEAAAB7"/>
    <w:rsid w:val="BEEC7DF0"/>
    <w:rsid w:val="BEFF7B08"/>
    <w:rsid w:val="BFFBA013"/>
    <w:rsid w:val="D67DEC13"/>
    <w:rsid w:val="D7F66848"/>
    <w:rsid w:val="DCDADCA0"/>
    <w:rsid w:val="DCEC0D5C"/>
    <w:rsid w:val="DFEB68FC"/>
    <w:rsid w:val="DFFF717D"/>
    <w:rsid w:val="E2FFAEA1"/>
    <w:rsid w:val="E6DF1944"/>
    <w:rsid w:val="EADCEB00"/>
    <w:rsid w:val="EB1CCFFB"/>
    <w:rsid w:val="EF7A637F"/>
    <w:rsid w:val="F6B0C244"/>
    <w:rsid w:val="F6F7DB5F"/>
    <w:rsid w:val="F7BFE3D4"/>
    <w:rsid w:val="F7BFE662"/>
    <w:rsid w:val="FACE8299"/>
    <w:rsid w:val="FC9FA252"/>
    <w:rsid w:val="FCBFAEFF"/>
    <w:rsid w:val="FCF251C7"/>
    <w:rsid w:val="FDF5DA5F"/>
    <w:rsid w:val="FEECBDA9"/>
    <w:rsid w:val="FEFF286A"/>
    <w:rsid w:val="FFBA9919"/>
    <w:rsid w:val="FFFA857C"/>
    <w:rsid w:val="FFFBC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w:basedOn w:val="5"/>
    <w:next w:val="1"/>
    <w:qFormat/>
    <w:uiPriority w:val="0"/>
    <w:rPr>
      <w:rFonts w:ascii="仿宋_GB2312" w:eastAsia="仿宋_GB2312"/>
      <w:sz w:val="32"/>
    </w:rPr>
  </w:style>
  <w:style w:type="paragraph" w:customStyle="1" w:styleId="5">
    <w:name w:val="正文_0"/>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首行缩进1"/>
    <w:basedOn w:val="4"/>
    <w:qFormat/>
    <w:uiPriority w:val="0"/>
    <w:pPr>
      <w:ind w:firstLine="420" w:firstLineChars="100"/>
    </w:pPr>
    <w:rPr>
      <w:rFonts w:ascii="Calibri" w:hAnsi="Calibri"/>
    </w:rPr>
  </w:style>
  <w:style w:type="paragraph" w:styleId="7">
    <w:name w:val="Plain Text"/>
    <w:basedOn w:val="1"/>
    <w:link w:val="21"/>
    <w:unhideWhenUsed/>
    <w:qFormat/>
    <w:uiPriority w:val="99"/>
    <w:rPr>
      <w:rFonts w:ascii="宋体" w:hAnsi="Courier New" w:cs="Courier New"/>
      <w:szCs w:val="21"/>
    </w:rPr>
  </w:style>
  <w:style w:type="paragraph" w:styleId="8">
    <w:name w:val="Balloon Text"/>
    <w:basedOn w:val="1"/>
    <w:link w:val="22"/>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5"/>
    <w:unhideWhenUsed/>
    <w:qFormat/>
    <w:uiPriority w:val="99"/>
    <w:pPr>
      <w:snapToGrid w:val="0"/>
      <w:spacing w:line="360" w:lineRule="auto"/>
      <w:jc w:val="center"/>
    </w:pPr>
    <w:rPr>
      <w:b/>
      <w:bCs/>
      <w:sz w:val="28"/>
      <w:szCs w:val="21"/>
    </w:rPr>
  </w:style>
  <w:style w:type="paragraph" w:styleId="12">
    <w:name w:val="Normal (Web)"/>
    <w:basedOn w:val="1"/>
    <w:unhideWhenUsed/>
    <w:qFormat/>
    <w:uiPriority w:val="99"/>
    <w:pPr>
      <w:spacing w:beforeAutospacing="1" w:afterAutospacing="1"/>
      <w:jc w:val="left"/>
    </w:pPr>
    <w:rPr>
      <w:kern w:val="0"/>
      <w:sz w:val="24"/>
    </w:rPr>
  </w:style>
  <w:style w:type="paragraph" w:styleId="13">
    <w:name w:val="annotation subject"/>
    <w:basedOn w:val="3"/>
    <w:next w:val="3"/>
    <w:link w:val="26"/>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800080"/>
      <w:u w:val="single"/>
    </w:rPr>
  </w:style>
  <w:style w:type="character" w:styleId="18">
    <w:name w:val="Hyperlink"/>
    <w:unhideWhenUsed/>
    <w:qFormat/>
    <w:uiPriority w:val="99"/>
    <w:rPr>
      <w:color w:val="0000FF"/>
      <w:u w:val="single"/>
    </w:rPr>
  </w:style>
  <w:style w:type="character" w:styleId="19">
    <w:name w:val="annotation reference"/>
    <w:unhideWhenUsed/>
    <w:qFormat/>
    <w:uiPriority w:val="99"/>
    <w:rPr>
      <w:sz w:val="21"/>
      <w:szCs w:val="21"/>
    </w:rPr>
  </w:style>
  <w:style w:type="character" w:customStyle="1" w:styleId="20">
    <w:name w:val="批注文字 字符"/>
    <w:link w:val="3"/>
    <w:semiHidden/>
    <w:qFormat/>
    <w:uiPriority w:val="99"/>
    <w:rPr>
      <w:rFonts w:ascii="Times New Roman" w:hAnsi="Times New Roman"/>
      <w:kern w:val="2"/>
      <w:sz w:val="21"/>
      <w:szCs w:val="24"/>
    </w:rPr>
  </w:style>
  <w:style w:type="character" w:customStyle="1" w:styleId="21">
    <w:name w:val="纯文本 字符"/>
    <w:link w:val="7"/>
    <w:qFormat/>
    <w:uiPriority w:val="99"/>
    <w:rPr>
      <w:rFonts w:ascii="宋体" w:hAnsi="Courier New" w:eastAsia="宋体" w:cs="Courier New"/>
      <w:szCs w:val="21"/>
    </w:rPr>
  </w:style>
  <w:style w:type="character" w:customStyle="1" w:styleId="22">
    <w:name w:val="批注框文本 字符"/>
    <w:link w:val="8"/>
    <w:semiHidden/>
    <w:qFormat/>
    <w:uiPriority w:val="99"/>
    <w:rPr>
      <w:rFonts w:ascii="Times New Roman" w:hAnsi="Times New Roman"/>
      <w:kern w:val="2"/>
      <w:sz w:val="18"/>
      <w:szCs w:val="18"/>
    </w:rPr>
  </w:style>
  <w:style w:type="character" w:customStyle="1" w:styleId="23">
    <w:name w:val="页脚 字符"/>
    <w:link w:val="9"/>
    <w:semiHidden/>
    <w:qFormat/>
    <w:uiPriority w:val="99"/>
    <w:rPr>
      <w:sz w:val="18"/>
      <w:szCs w:val="18"/>
    </w:rPr>
  </w:style>
  <w:style w:type="character" w:customStyle="1" w:styleId="24">
    <w:name w:val="页眉 字符"/>
    <w:link w:val="10"/>
    <w:semiHidden/>
    <w:qFormat/>
    <w:uiPriority w:val="99"/>
    <w:rPr>
      <w:sz w:val="18"/>
      <w:szCs w:val="18"/>
    </w:rPr>
  </w:style>
  <w:style w:type="character" w:customStyle="1" w:styleId="25">
    <w:name w:val="正文文本 2 字符"/>
    <w:link w:val="11"/>
    <w:qFormat/>
    <w:uiPriority w:val="99"/>
    <w:rPr>
      <w:rFonts w:ascii="Times New Roman" w:hAnsi="Times New Roman" w:eastAsia="宋体" w:cs="Times New Roman"/>
      <w:b/>
      <w:bCs/>
      <w:sz w:val="28"/>
      <w:szCs w:val="21"/>
    </w:rPr>
  </w:style>
  <w:style w:type="character" w:customStyle="1" w:styleId="26">
    <w:name w:val="批注主题 字符"/>
    <w:link w:val="13"/>
    <w:semiHidden/>
    <w:qFormat/>
    <w:uiPriority w:val="99"/>
    <w:rPr>
      <w:rFonts w:ascii="Times New Roman" w:hAnsi="Times New Roman"/>
      <w:b/>
      <w:bCs/>
      <w:kern w:val="2"/>
      <w:sz w:val="21"/>
      <w:szCs w:val="24"/>
    </w:rPr>
  </w:style>
  <w:style w:type="paragraph" w:customStyle="1" w:styleId="27">
    <w:name w:val="默认段落字体 Para Char"/>
    <w:basedOn w:val="1"/>
    <w:qFormat/>
    <w:uiPriority w:val="0"/>
  </w:style>
  <w:style w:type="paragraph" w:customStyle="1" w:styleId="28">
    <w:name w:val="列表段落1"/>
    <w:basedOn w:val="1"/>
    <w:qFormat/>
    <w:uiPriority w:val="34"/>
    <w:pPr>
      <w:ind w:firstLine="420" w:firstLineChars="200"/>
    </w:pPr>
  </w:style>
  <w:style w:type="paragraph" w:customStyle="1" w:styleId="29">
    <w:name w:val="p0"/>
    <w:basedOn w:val="1"/>
    <w:qFormat/>
    <w:uiPriority w:val="0"/>
    <w:rPr>
      <w:kern w:val="0"/>
      <w:szCs w:val="21"/>
    </w:rPr>
  </w:style>
  <w:style w:type="paragraph" w:customStyle="1" w:styleId="30">
    <w:name w:val="p17"/>
    <w:basedOn w:val="1"/>
    <w:qFormat/>
    <w:uiPriority w:val="0"/>
    <w:pPr>
      <w:spacing w:before="100" w:after="100"/>
      <w:jc w:val="left"/>
    </w:pPr>
    <w:rPr>
      <w:rFonts w:hint="eastAsia" w:ascii="宋体" w:hAnsi="宋体" w:cs="宋体"/>
      <w:kern w:val="0"/>
      <w:sz w:val="24"/>
    </w:rPr>
  </w:style>
  <w:style w:type="paragraph" w:customStyle="1" w:styleId="31">
    <w:name w:val="列表段落2"/>
    <w:basedOn w:val="1"/>
    <w:qFormat/>
    <w:uiPriority w:val="99"/>
    <w:pPr>
      <w:ind w:firstLine="420" w:firstLineChars="200"/>
    </w:pPr>
  </w:style>
  <w:style w:type="character" w:customStyle="1" w:styleId="32">
    <w:name w:val="未处理的提及1"/>
    <w:unhideWhenUsed/>
    <w:qFormat/>
    <w:uiPriority w:val="99"/>
    <w:rPr>
      <w:color w:val="605E5C"/>
      <w:shd w:val="clear" w:color="auto" w:fill="E1DFDD"/>
    </w:rPr>
  </w:style>
  <w:style w:type="paragraph" w:customStyle="1" w:styleId="33">
    <w:name w:val="修订1"/>
    <w:semiHidden/>
    <w:qFormat/>
    <w:uiPriority w:val="99"/>
    <w:rPr>
      <w:rFonts w:ascii="Times New Roman" w:hAnsi="Times New Roman" w:eastAsia="宋体" w:cs="Times New Roman"/>
      <w:kern w:val="2"/>
      <w:sz w:val="21"/>
      <w:szCs w:val="24"/>
      <w:lang w:val="en-US" w:eastAsia="zh-CN" w:bidi="ar-SA"/>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5261</Words>
  <Characters>5478</Characters>
  <Lines>47</Lines>
  <Paragraphs>13</Paragraphs>
  <TotalTime>0</TotalTime>
  <ScaleCrop>false</ScaleCrop>
  <LinksUpToDate>false</LinksUpToDate>
  <CharactersWithSpaces>6333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2022-05-25T17:35:00Z</dcterms:created>
  <dc:creator>谢苗</dc:creator>
  <cp:lastModifiedBy>a208</cp:lastModifiedBy>
  <cp:lastPrinted>2020-04-06T21:55:00Z</cp:lastPrinted>
  <dcterms:modified xsi:type="dcterms:W3CDTF">2025-04-03T09:24:25Z</dcterms:modified>
  <dc:title>附件1：</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ContentTypeId">
    <vt:lpwstr>0x010100FB6249FB46A6D149B63A5BB191B37539</vt:lpwstr>
  </property>
  <property fmtid="{D5CDD505-2E9C-101B-9397-08002B2CF9AE}" pid="4" name="ICV">
    <vt:lpwstr>F71EA7B7112C4A9AAB5C4554EDEB39D8_13</vt:lpwstr>
  </property>
  <property fmtid="{D5CDD505-2E9C-101B-9397-08002B2CF9AE}" pid="5" name="KSOTemplateDocerSaveRecord">
    <vt:lpwstr>eyJoZGlkIjoiN2QyNjc1YTg5YWYzMTlhYzJjNDE5NmJiNzBmYzc3ZjIiLCJ1c2VySWQiOiI0NDE3NDU2NDkifQ==</vt:lpwstr>
  </property>
</Properties>
</file>