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8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  <w:t>2</w:t>
      </w:r>
    </w:p>
    <w:p>
      <w:pPr>
        <w:pStyle w:val="4"/>
        <w:rPr>
          <w:rFonts w:hint="eastAsia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深圳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市知识产权公共服务网点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申报书</w:t>
      </w:r>
    </w:p>
    <w:p>
      <w:pPr>
        <w:widowControl/>
        <w:spacing w:line="312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 w:hAnsi="Calibri" w:eastAsia="宋体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 w:hAnsi="Calibri" w:eastAsia="宋体"/>
          <w:sz w:val="36"/>
          <w:szCs w:val="36"/>
        </w:rPr>
      </w:pPr>
    </w:p>
    <w:p>
      <w:pPr>
        <w:pStyle w:val="4"/>
        <w:rPr>
          <w:rFonts w:ascii="宋体" w:hAnsi="Calibri" w:eastAsia="宋体"/>
          <w:sz w:val="36"/>
          <w:szCs w:val="36"/>
        </w:rPr>
      </w:pPr>
    </w:p>
    <w:p>
      <w:pPr>
        <w:pStyle w:val="4"/>
        <w:rPr>
          <w:rFonts w:ascii="宋体" w:hAnsi="Calibri" w:eastAsia="宋体"/>
          <w:sz w:val="36"/>
          <w:szCs w:val="36"/>
        </w:rPr>
      </w:pPr>
    </w:p>
    <w:p>
      <w:pPr>
        <w:pStyle w:val="4"/>
        <w:rPr>
          <w:rFonts w:ascii="宋体" w:hAnsi="Calibri" w:eastAsia="宋体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申报机构：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　　　　　 （盖章）</w:t>
      </w:r>
    </w:p>
    <w:p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　　　　　         </w:t>
      </w:r>
    </w:p>
    <w:p>
      <w:pPr>
        <w:widowControl/>
        <w:spacing w:line="240" w:lineRule="atLeas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楷体_GBK" w:hAnsi="仿宋_GB2312" w:eastAsia="方正楷体_GBK" w:cs="仿宋_GB2312"/>
          <w:szCs w:val="32"/>
        </w:rPr>
      </w:pPr>
    </w:p>
    <w:p>
      <w:pPr>
        <w:spacing w:line="560" w:lineRule="exact"/>
        <w:jc w:val="center"/>
        <w:rPr>
          <w:rFonts w:ascii="方正楷体_GBK" w:hAnsi="仿宋_GB2312" w:eastAsia="方正楷体_GBK" w:cs="仿宋_GB2312"/>
          <w:szCs w:val="32"/>
        </w:rPr>
      </w:pPr>
    </w:p>
    <w:p>
      <w:pPr>
        <w:spacing w:line="660" w:lineRule="exact"/>
        <w:jc w:val="both"/>
        <w:rPr>
          <w:rFonts w:ascii="方正小标宋简体" w:hAnsi="Calibri" w:eastAsia="方正小标宋简体"/>
          <w:sz w:val="44"/>
          <w:szCs w:val="44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1"/>
        <w:gridCol w:w="850"/>
        <w:gridCol w:w="1139"/>
        <w:gridCol w:w="851"/>
        <w:gridCol w:w="1417"/>
        <w:gridCol w:w="703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8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6999" w:type="dxa"/>
            <w:gridSpan w:val="7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6999" w:type="dxa"/>
            <w:gridSpan w:val="7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主要负责人及职务</w:t>
            </w:r>
          </w:p>
        </w:tc>
        <w:tc>
          <w:tcPr>
            <w:tcW w:w="6999" w:type="dxa"/>
            <w:gridSpan w:val="7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员数量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人员数量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兼职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人员数量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69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高校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□ 科研机构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科技情报机构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公共图书馆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行业组织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产业园区生产力促进机构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市场化服务机构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服务对象</w:t>
            </w:r>
          </w:p>
        </w:tc>
        <w:tc>
          <w:tcPr>
            <w:tcW w:w="69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政府部门 □ 科研机构 □ 高校 □企事业单位 □ 社会公众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69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基础服务：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知识产权培训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及素养教育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知识产权文献传递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知识产权基础检索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知识产权信息咨询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知识产权信息宣传推广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政策法规资讯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知识产权风险应对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基础指引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知识产权维权援助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基础服务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        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专业服务：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知识产权特定信息检索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专利导航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预警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知识产权专题数据库建设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及分析工具建设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高价值专利培育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布局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知识产权分析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评议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技术监测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服务：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增值服务：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知识产权战略及管理咨询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成果转化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运用服务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知识产权金融服务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托管服务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数据知识产权服务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知识产权服务平台建设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制定知识产权服务标准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建立技术创新联盟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知识产权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人才培养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人工智能+知识产权服务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出海护航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专利申请前评估与全流程跟踪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知识产权价值评估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产业专利池组建辅导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增值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服务：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8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??_GB2312" w:eastAsia="Times New Roman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二、工作基础和优势特点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8525" w:type="dxa"/>
            <w:gridSpan w:val="8"/>
            <w:noWrap w:val="0"/>
            <w:vAlign w:val="top"/>
          </w:tcPr>
          <w:p>
            <w:pPr>
              <w:adjustRightInd w:val="0"/>
              <w:spacing w:line="460" w:lineRule="exact"/>
              <w:rPr>
                <w:lang w:val="zh-CN"/>
              </w:rPr>
            </w:pP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（含软硬件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条件、知识产权公共服务工作开展情况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资金和资源保障，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相关工作制度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等，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以附件形式提交相关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佐证材料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8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  <w:jc w:val="center"/>
        </w:trPr>
        <w:tc>
          <w:tcPr>
            <w:tcW w:w="8525" w:type="dxa"/>
            <w:gridSpan w:val="8"/>
            <w:noWrap w:val="0"/>
            <w:vAlign w:val="top"/>
          </w:tcPr>
          <w:p>
            <w:pPr>
              <w:adjustRightInd w:val="0"/>
              <w:spacing w:line="46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（从服务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团队人数、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学历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知识产权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相关服务资质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等方面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进行说明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含主要负责人、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职人员至少5名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个人情况及知识产权公共服务相关工作经历简介等，每人200字左右）</w:t>
            </w: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8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四、近一年知识产权公共服务情况（1500字左右）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8525" w:type="dxa"/>
            <w:gridSpan w:val="8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（近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年开展的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知识产权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基础服务、专业服务和</w:t>
            </w:r>
            <w:r>
              <w:rPr>
                <w:rFonts w:hint="default" w:ascii="仿宋_GB2312" w:hAnsi="宋体" w:eastAsia="仿宋_GB2312" w:cs="黑体"/>
                <w:sz w:val="28"/>
                <w:szCs w:val="28"/>
                <w:lang w:val="en-US"/>
              </w:rPr>
              <w:t>增值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服务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情况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）</w:t>
            </w:r>
          </w:p>
          <w:p>
            <w:pPr>
              <w:pStyle w:val="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8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、未来发展思路和支持措施（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黑体" w:hAnsi="黑体" w:eastAsia="黑体" w:cs="黑体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525" w:type="dxa"/>
            <w:gridSpan w:val="8"/>
            <w:noWrap w:val="0"/>
            <w:vAlign w:val="top"/>
          </w:tcPr>
          <w:p>
            <w:pPr>
              <w:adjustRightInd w:val="0"/>
              <w:spacing w:line="460" w:lineRule="exact"/>
              <w:jc w:val="left"/>
              <w:rPr>
                <w:rFonts w:eastAsia="宋体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含场地、人才、资金、运行保障、发展方向等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8525" w:type="dxa"/>
            <w:gridSpan w:val="8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、开展知识产权公共服务典型案例（1-2个，每个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字左右）</w:t>
            </w: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8525" w:type="dxa"/>
            <w:gridSpan w:val="8"/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含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名称、实施时间、内容和效果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）</w:t>
            </w:r>
          </w:p>
          <w:p>
            <w:pPr>
              <w:tabs>
                <w:tab w:val="left" w:pos="1723"/>
              </w:tabs>
              <w:adjustRightInd w:val="0"/>
              <w:spacing w:after="100" w:afterAutospacing="1"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8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left"/>
              <w:rPr>
                <w:rFonts w:hint="eastAsia" w:ascii="??_GB2312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七、申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机构</w:t>
            </w:r>
            <w:r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8525" w:type="dxa"/>
            <w:gridSpan w:val="8"/>
            <w:noWrap w:val="0"/>
            <w:vAlign w:val="top"/>
          </w:tcPr>
          <w:p>
            <w:pPr>
              <w:adjustRightInd w:val="0"/>
              <w:spacing w:line="4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>
            <w:pPr>
              <w:adjustRightInd w:val="0"/>
              <w:spacing w:line="46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例：本申报项目所提交的所有材料真实、合法、合规，经费保障、人员保障和场地保障均可落实。</w:t>
            </w:r>
          </w:p>
          <w:p>
            <w:pPr>
              <w:adjustRightInd w:val="0"/>
              <w:spacing w:line="460" w:lineRule="exact"/>
              <w:jc w:val="both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　　　　负责人：　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日期：　     （盖章）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5F6B6"/>
    <w:multiLevelType w:val="multilevel"/>
    <w:tmpl w:val="6DC5F6B6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黑体" w:hAnsi="黑体" w:eastAsia="黑体" w:cs="黑体"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18EF33A4"/>
    <w:rsid w:val="25123979"/>
    <w:rsid w:val="446216CF"/>
    <w:rsid w:val="44A20E3A"/>
    <w:rsid w:val="46D56B99"/>
    <w:rsid w:val="5B0E6FDD"/>
    <w:rsid w:val="64B84C06"/>
    <w:rsid w:val="6B6831F6"/>
    <w:rsid w:val="7A2C28B4"/>
    <w:rsid w:val="7AA6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891</Characters>
  <Lines>0</Lines>
  <Paragraphs>0</Paragraphs>
  <TotalTime>8</TotalTime>
  <ScaleCrop>false</ScaleCrop>
  <LinksUpToDate>false</LinksUpToDate>
  <CharactersWithSpaces>1218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2025-09-29T08:54:00Z</dcterms:created>
  <dc:creator>liuxue</dc:creator>
  <cp:lastModifiedBy>zzsd</cp:lastModifiedBy>
  <dcterms:modified xsi:type="dcterms:W3CDTF">2026-06-03T08:57:12Z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TemplateDocerSaveRecord">
    <vt:lpwstr>eyJoZGlkIjoiMmQ4OWZjMmY5YjZlOTQ4MGUxNDA3MzAzZjFjZWEyNDkiLCJ1c2VySWQiOiI2OTQ1OTY0OTcifQ==</vt:lpwstr>
  </property>
  <property fmtid="{D5CDD505-2E9C-101B-9397-08002B2CF9AE}" pid="4" name="ICV">
    <vt:lpwstr>9A996CEC1A9C4B64A63F0C0E9F6A6B2E_12</vt:lpwstr>
  </property>
</Properties>
</file>