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黑体" w:hAnsi="黑体" w:eastAsia="黑体" w:cs="仿宋_GB2312"/>
          <w:kern w:val="0"/>
          <w:sz w:val="32"/>
          <w:szCs w:val="32"/>
          <w:highlight w:val="none"/>
        </w:rPr>
      </w:pPr>
      <w:r>
        <w:rPr>
          <w:rFonts w:hint="eastAsia" w:ascii="黑体" w:hAnsi="黑体" w:eastAsia="黑体" w:cs="仿宋_GB2312"/>
          <w:kern w:val="0"/>
          <w:sz w:val="32"/>
          <w:szCs w:val="32"/>
          <w:highlight w:val="none"/>
        </w:rPr>
        <w:t>附件3</w:t>
      </w:r>
      <w:r>
        <w:rPr>
          <w:rFonts w:ascii="黑体" w:hAnsi="黑体" w:eastAsia="黑体" w:cs="仿宋_GB2312"/>
          <w:kern w:val="0"/>
          <w:sz w:val="32"/>
          <w:szCs w:val="32"/>
          <w:highlight w:val="none"/>
        </w:rPr>
        <w:t xml:space="preserve"> </w: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spacing w:line="360" w:lineRule="auto"/>
        <w:jc w:val="center"/>
        <w:rPr>
          <w:rFonts w:hint="eastAsia" w:ascii="方正小标宋简体" w:hAnsi="仿宋_GB2312" w:eastAsia="方正小标宋简体" w:cs="仿宋_GB2312"/>
          <w:kern w:val="0"/>
          <w:sz w:val="72"/>
          <w:szCs w:val="72"/>
          <w:highlight w:val="none"/>
        </w:rPr>
      </w:pPr>
      <w:r>
        <w:rPr>
          <w:rFonts w:hint="eastAsia" w:ascii="方正小标宋简体" w:hAnsi="仿宋_GB2312" w:eastAsia="方正小标宋简体" w:cs="仿宋_GB2312"/>
          <w:kern w:val="0"/>
          <w:sz w:val="72"/>
          <w:szCs w:val="72"/>
          <w:highlight w:val="none"/>
        </w:rPr>
        <w:t>深圳市企业环境信息依法</w:t>
      </w:r>
    </w:p>
    <w:p>
      <w:pPr>
        <w:spacing w:line="360" w:lineRule="auto"/>
        <w:jc w:val="center"/>
        <w:rPr>
          <w:rFonts w:hint="eastAsia" w:ascii="方正小标宋简体" w:hAnsi="仿宋_GB2312" w:eastAsia="方正小标宋简体" w:cs="仿宋_GB2312"/>
          <w:kern w:val="0"/>
          <w:sz w:val="72"/>
          <w:szCs w:val="72"/>
          <w:highlight w:val="none"/>
        </w:rPr>
      </w:pPr>
      <w:r>
        <w:rPr>
          <w:rFonts w:hint="eastAsia" w:ascii="方正小标宋简体" w:hAnsi="仿宋_GB2312" w:eastAsia="方正小标宋简体" w:cs="仿宋_GB2312"/>
          <w:kern w:val="0"/>
          <w:sz w:val="72"/>
          <w:szCs w:val="72"/>
          <w:highlight w:val="none"/>
        </w:rPr>
        <w:t>披露实施手册</w:t>
      </w:r>
      <w:bookmarkStart w:id="83" w:name="_GoBack"/>
      <w:bookmarkEnd w:id="83"/>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w:br w:type="page"/>
      </w:r>
    </w:p>
    <w:sdt>
      <w:sdtPr>
        <w:rPr>
          <w:rFonts w:hint="eastAsia" w:ascii="方正小标宋_GBK" w:hAnsi="方正小标宋_GBK" w:eastAsia="方正小标宋_GBK" w:cs="方正小标宋_GBK"/>
          <w:b w:val="0"/>
          <w:color w:val="auto"/>
          <w:kern w:val="2"/>
          <w:sz w:val="22"/>
          <w:szCs w:val="24"/>
          <w:highlight w:val="none"/>
          <w:lang w:val="zh-CN"/>
        </w:rPr>
        <w:id w:val="-36444607"/>
        <w:docPartObj>
          <w:docPartGallery w:val="Table of Contents"/>
          <w:docPartUnique/>
        </w:docPartObj>
      </w:sdtPr>
      <w:sdtEndPr>
        <w:rPr>
          <w:rFonts w:hint="eastAsia" w:ascii="仿宋_GB2312" w:eastAsia="仿宋_GB2312" w:hAnsiTheme="minorHAnsi" w:cstheme="minorBidi"/>
          <w:b/>
          <w:bCs/>
          <w:color w:val="auto"/>
          <w:kern w:val="2"/>
          <w:sz w:val="21"/>
          <w:szCs w:val="22"/>
          <w:highlight w:val="none"/>
          <w:lang w:val="zh-CN"/>
        </w:rPr>
      </w:sdtEndPr>
      <w:sdtContent>
        <w:p>
          <w:pPr>
            <w:pStyle w:val="31"/>
            <w:jc w:val="center"/>
            <w:rPr>
              <w:rFonts w:hint="eastAsia" w:ascii="方正小标宋_GBK" w:hAnsi="方正小标宋_GBK" w:eastAsia="方正小标宋_GBK" w:cs="方正小标宋_GBK"/>
              <w:color w:val="auto"/>
              <w:sz w:val="36"/>
              <w:szCs w:val="36"/>
              <w:highlight w:val="none"/>
              <w:lang w:val="zh-CN"/>
            </w:rPr>
          </w:pPr>
          <w:r>
            <w:rPr>
              <w:rFonts w:hint="eastAsia" w:ascii="方正小标宋_GBK" w:hAnsi="方正小标宋_GBK" w:eastAsia="方正小标宋_GBK" w:cs="方正小标宋_GBK"/>
              <w:color w:val="auto"/>
              <w:sz w:val="40"/>
              <w:szCs w:val="40"/>
              <w:highlight w:val="none"/>
              <w:lang w:val="zh-CN"/>
            </w:rPr>
            <w:t>目</w:t>
          </w:r>
          <w:r>
            <w:rPr>
              <w:rFonts w:hint="eastAsia" w:ascii="方正小标宋_GBK" w:hAnsi="方正小标宋_GBK" w:eastAsia="方正小标宋_GBK" w:cs="方正小标宋_GBK"/>
              <w:color w:val="auto"/>
              <w:sz w:val="40"/>
              <w:szCs w:val="40"/>
              <w:highlight w:val="none"/>
            </w:rPr>
            <w:t xml:space="preserve"> </w:t>
          </w:r>
          <w:r>
            <w:rPr>
              <w:rFonts w:hint="eastAsia" w:ascii="方正小标宋_GBK" w:hAnsi="方正小标宋_GBK" w:eastAsia="方正小标宋_GBK" w:cs="方正小标宋_GBK"/>
              <w:color w:val="auto"/>
              <w:sz w:val="40"/>
              <w:szCs w:val="40"/>
              <w:highlight w:val="none"/>
              <w:lang w:val="zh-CN"/>
            </w:rPr>
            <w:t>录</w:t>
          </w:r>
        </w:p>
        <w:p>
          <w:pPr>
            <w:rPr>
              <w:rFonts w:hint="eastAsia"/>
              <w:highlight w:val="none"/>
            </w:rPr>
          </w:pPr>
        </w:p>
        <w:p>
          <w:pPr>
            <w:pStyle w:val="9"/>
            <w:tabs>
              <w:tab w:val="right" w:leader="dot" w:pos="8844"/>
              <w:tab w:val="clear" w:pos="8834"/>
            </w:tabs>
            <w:rPr>
              <w:rFonts w:hint="eastAsia"/>
              <w:b/>
              <w:bCs/>
              <w:highlight w:val="none"/>
            </w:rPr>
          </w:pPr>
          <w:r>
            <w:rPr>
              <w:rFonts w:hint="eastAsia"/>
              <w:b/>
              <w:bCs/>
              <w:highlight w:val="none"/>
            </w:rPr>
            <w:fldChar w:fldCharType="begin"/>
          </w:r>
          <w:r>
            <w:rPr>
              <w:rFonts w:hint="eastAsia"/>
              <w:b/>
              <w:bCs/>
              <w:highlight w:val="none"/>
            </w:rPr>
            <w:instrText xml:space="preserve"> TOC \o "1-3" \h \z \u </w:instrText>
          </w:r>
          <w:r>
            <w:rPr>
              <w:rFonts w:hint="eastAsia"/>
              <w:b/>
              <w:bCs/>
              <w:highlight w:val="none"/>
            </w:rPr>
            <w:fldChar w:fldCharType="separate"/>
          </w:r>
          <w:r>
            <w:rPr>
              <w:highlight w:val="none"/>
            </w:rPr>
            <w:fldChar w:fldCharType="begin"/>
          </w:r>
          <w:r>
            <w:rPr>
              <w:highlight w:val="none"/>
            </w:rPr>
            <w:instrText xml:space="preserve"> HYPERLINK \l "_Toc29159" </w:instrText>
          </w:r>
          <w:r>
            <w:rPr>
              <w:highlight w:val="none"/>
            </w:rPr>
            <w:fldChar w:fldCharType="separate"/>
          </w:r>
          <w:r>
            <w:rPr>
              <w:rFonts w:hint="eastAsia"/>
              <w:b/>
              <w:bCs/>
              <w:highlight w:val="none"/>
            </w:rPr>
            <w:t>一、企业环境信息披露操作流程图</w:t>
          </w:r>
          <w:r>
            <w:rPr>
              <w:rFonts w:hint="eastAsia"/>
              <w:b/>
              <w:bCs/>
              <w:highlight w:val="none"/>
            </w:rPr>
            <w:tab/>
          </w:r>
          <w:r>
            <w:rPr>
              <w:rFonts w:hAnsi="仿宋_GB2312" w:cs="仿宋_GB2312"/>
              <w:b/>
              <w:bCs/>
              <w:sz w:val="28"/>
              <w:highlight w:val="none"/>
            </w:rPr>
            <w:fldChar w:fldCharType="begin"/>
          </w:r>
          <w:r>
            <w:rPr>
              <w:rFonts w:hint="eastAsia" w:hAnsi="仿宋_GB2312" w:cs="仿宋_GB2312"/>
              <w:b/>
              <w:bCs/>
              <w:sz w:val="28"/>
              <w:highlight w:val="none"/>
            </w:rPr>
            <w:instrText xml:space="preserve"> PAGEREF _Toc29159 \h </w:instrText>
          </w:r>
          <w:r>
            <w:rPr>
              <w:rFonts w:hAnsi="仿宋_GB2312" w:cs="仿宋_GB2312"/>
              <w:b/>
              <w:bCs/>
              <w:sz w:val="28"/>
              <w:highlight w:val="none"/>
            </w:rPr>
            <w:fldChar w:fldCharType="separate"/>
          </w:r>
          <w:r>
            <w:rPr>
              <w:rFonts w:hint="eastAsia" w:hAnsi="仿宋_GB2312" w:cs="仿宋_GB2312"/>
              <w:b/>
              <w:bCs/>
              <w:sz w:val="28"/>
              <w:highlight w:val="none"/>
            </w:rPr>
            <w:t>- 4 -</w:t>
          </w:r>
          <w:r>
            <w:rPr>
              <w:rFonts w:hAnsi="仿宋_GB2312" w:cs="仿宋_GB2312"/>
              <w:b/>
              <w:bCs/>
              <w:sz w:val="28"/>
              <w:highlight w:val="none"/>
            </w:rPr>
            <w:fldChar w:fldCharType="end"/>
          </w:r>
          <w:r>
            <w:rPr>
              <w:rFonts w:hAnsi="仿宋_GB2312" w:cs="仿宋_GB2312"/>
              <w:b/>
              <w:bCs/>
              <w:sz w:val="28"/>
              <w:highlight w:val="none"/>
            </w:rPr>
            <w:fldChar w:fldCharType="end"/>
          </w:r>
        </w:p>
        <w:p>
          <w:pPr>
            <w:pStyle w:val="10"/>
            <w:tabs>
              <w:tab w:val="right" w:leader="dot" w:pos="8844"/>
            </w:tabs>
            <w:rPr>
              <w:rFonts w:hint="eastAsia" w:ascii="仿宋_GB2312" w:hAnsi="仿宋_GB2312" w:eastAsia="仿宋_GB2312" w:cs="仿宋_GB2312"/>
              <w:b/>
              <w:bCs/>
              <w:sz w:val="28"/>
              <w:szCs w:val="32"/>
              <w:highlight w:val="none"/>
            </w:rPr>
          </w:pPr>
          <w:r>
            <w:rPr>
              <w:highlight w:val="none"/>
            </w:rPr>
            <w:fldChar w:fldCharType="begin"/>
          </w:r>
          <w:r>
            <w:rPr>
              <w:highlight w:val="none"/>
            </w:rPr>
            <w:instrText xml:space="preserve"> HYPERLINK \l "_Toc27492" </w:instrText>
          </w:r>
          <w:r>
            <w:rPr>
              <w:highlight w:val="none"/>
            </w:rPr>
            <w:fldChar w:fldCharType="separate"/>
          </w:r>
          <w:r>
            <w:rPr>
              <w:rFonts w:hint="eastAsia" w:ascii="仿宋_GB2312" w:hAnsi="仿宋_GB2312" w:eastAsia="仿宋_GB2312" w:cs="仿宋_GB2312"/>
              <w:b/>
              <w:bCs/>
              <w:sz w:val="28"/>
              <w:szCs w:val="32"/>
              <w:highlight w:val="none"/>
            </w:rPr>
            <w:t>1. 临时报告披露流程图</w:t>
          </w:r>
          <w:r>
            <w:rPr>
              <w:rFonts w:hint="eastAsia" w:ascii="仿宋_GB2312" w:hAnsi="仿宋_GB2312" w:eastAsia="仿宋_GB2312" w:cs="仿宋_GB2312"/>
              <w:b/>
              <w:bCs/>
              <w:sz w:val="28"/>
              <w:szCs w:val="32"/>
              <w:highlight w:val="none"/>
            </w:rPr>
            <w:tab/>
          </w:r>
          <w:r>
            <w:rPr>
              <w:rFonts w:ascii="仿宋_GB2312" w:hAnsi="仿宋_GB2312" w:eastAsia="仿宋_GB2312" w:cs="仿宋_GB2312"/>
              <w:b/>
              <w:bCs/>
              <w:sz w:val="28"/>
              <w:szCs w:val="32"/>
              <w:highlight w:val="none"/>
            </w:rPr>
            <w:fldChar w:fldCharType="begin"/>
          </w:r>
          <w:r>
            <w:rPr>
              <w:rFonts w:hint="eastAsia" w:ascii="仿宋_GB2312" w:hAnsi="仿宋_GB2312" w:eastAsia="仿宋_GB2312" w:cs="仿宋_GB2312"/>
              <w:b/>
              <w:bCs/>
              <w:sz w:val="28"/>
              <w:szCs w:val="32"/>
              <w:highlight w:val="none"/>
            </w:rPr>
            <w:instrText xml:space="preserve"> PAGEREF _Toc27492 \h </w:instrText>
          </w:r>
          <w:r>
            <w:rPr>
              <w:rFonts w:ascii="仿宋_GB2312" w:hAnsi="仿宋_GB2312" w:eastAsia="仿宋_GB2312" w:cs="仿宋_GB2312"/>
              <w:b/>
              <w:bCs/>
              <w:sz w:val="28"/>
              <w:szCs w:val="32"/>
              <w:highlight w:val="none"/>
            </w:rPr>
            <w:fldChar w:fldCharType="separate"/>
          </w:r>
          <w:r>
            <w:rPr>
              <w:rFonts w:hint="eastAsia" w:ascii="仿宋_GB2312" w:hAnsi="仿宋_GB2312" w:eastAsia="仿宋_GB2312" w:cs="仿宋_GB2312"/>
              <w:b/>
              <w:bCs/>
              <w:sz w:val="28"/>
              <w:szCs w:val="32"/>
              <w:highlight w:val="none"/>
            </w:rPr>
            <w:t>- 5 -</w:t>
          </w:r>
          <w:r>
            <w:rPr>
              <w:rFonts w:ascii="仿宋_GB2312" w:hAnsi="仿宋_GB2312" w:eastAsia="仿宋_GB2312" w:cs="仿宋_GB2312"/>
              <w:b/>
              <w:bCs/>
              <w:sz w:val="28"/>
              <w:szCs w:val="32"/>
              <w:highlight w:val="none"/>
            </w:rPr>
            <w:fldChar w:fldCharType="end"/>
          </w:r>
          <w:r>
            <w:rPr>
              <w:rFonts w:ascii="仿宋_GB2312" w:hAnsi="仿宋_GB2312" w:eastAsia="仿宋_GB2312" w:cs="仿宋_GB2312"/>
              <w:b/>
              <w:bCs/>
              <w:sz w:val="28"/>
              <w:szCs w:val="32"/>
              <w:highlight w:val="none"/>
            </w:rPr>
            <w:fldChar w:fldCharType="end"/>
          </w:r>
        </w:p>
        <w:p>
          <w:pPr>
            <w:pStyle w:val="10"/>
            <w:tabs>
              <w:tab w:val="right" w:leader="dot" w:pos="8844"/>
            </w:tabs>
            <w:rPr>
              <w:rFonts w:hint="eastAsia"/>
              <w:b/>
              <w:bCs/>
              <w:highlight w:val="none"/>
            </w:rPr>
          </w:pPr>
          <w:r>
            <w:rPr>
              <w:highlight w:val="none"/>
            </w:rPr>
            <w:fldChar w:fldCharType="begin"/>
          </w:r>
          <w:r>
            <w:rPr>
              <w:highlight w:val="none"/>
            </w:rPr>
            <w:instrText xml:space="preserve"> HYPERLINK \l "_Toc4948" </w:instrText>
          </w:r>
          <w:r>
            <w:rPr>
              <w:highlight w:val="none"/>
            </w:rPr>
            <w:fldChar w:fldCharType="separate"/>
          </w:r>
          <w:r>
            <w:rPr>
              <w:rFonts w:ascii="仿宋_GB2312" w:hAnsi="仿宋_GB2312" w:eastAsia="仿宋_GB2312" w:cs="仿宋_GB2312"/>
              <w:b/>
              <w:bCs/>
              <w:sz w:val="28"/>
              <w:szCs w:val="32"/>
              <w:highlight w:val="none"/>
            </w:rPr>
            <w:t xml:space="preserve">2. </w:t>
          </w:r>
          <w:r>
            <w:rPr>
              <w:rFonts w:hint="eastAsia" w:ascii="仿宋_GB2312" w:hAnsi="仿宋_GB2312" w:eastAsia="仿宋_GB2312" w:cs="仿宋_GB2312"/>
              <w:b/>
              <w:bCs/>
              <w:sz w:val="28"/>
              <w:szCs w:val="32"/>
              <w:highlight w:val="none"/>
            </w:rPr>
            <w:t>年度报告披露流程图</w:t>
          </w:r>
          <w:r>
            <w:rPr>
              <w:rFonts w:hint="eastAsia" w:ascii="仿宋_GB2312" w:hAnsi="仿宋_GB2312" w:eastAsia="仿宋_GB2312" w:cs="仿宋_GB2312"/>
              <w:b/>
              <w:bCs/>
              <w:sz w:val="28"/>
              <w:szCs w:val="32"/>
              <w:highlight w:val="none"/>
            </w:rPr>
            <w:tab/>
          </w:r>
          <w:r>
            <w:rPr>
              <w:rFonts w:ascii="仿宋_GB2312" w:hAnsi="仿宋_GB2312" w:eastAsia="仿宋_GB2312" w:cs="仿宋_GB2312"/>
              <w:b/>
              <w:bCs/>
              <w:sz w:val="28"/>
              <w:szCs w:val="32"/>
              <w:highlight w:val="none"/>
            </w:rPr>
            <w:fldChar w:fldCharType="begin"/>
          </w:r>
          <w:r>
            <w:rPr>
              <w:rFonts w:hint="eastAsia" w:ascii="仿宋_GB2312" w:hAnsi="仿宋_GB2312" w:eastAsia="仿宋_GB2312" w:cs="仿宋_GB2312"/>
              <w:b/>
              <w:bCs/>
              <w:sz w:val="28"/>
              <w:szCs w:val="32"/>
              <w:highlight w:val="none"/>
            </w:rPr>
            <w:instrText xml:space="preserve"> PAGEREF _Toc4948 \h </w:instrText>
          </w:r>
          <w:r>
            <w:rPr>
              <w:rFonts w:ascii="仿宋_GB2312" w:hAnsi="仿宋_GB2312" w:eastAsia="仿宋_GB2312" w:cs="仿宋_GB2312"/>
              <w:b/>
              <w:bCs/>
              <w:sz w:val="28"/>
              <w:szCs w:val="32"/>
              <w:highlight w:val="none"/>
            </w:rPr>
            <w:fldChar w:fldCharType="separate"/>
          </w:r>
          <w:r>
            <w:rPr>
              <w:rFonts w:hint="eastAsia" w:ascii="仿宋_GB2312" w:hAnsi="仿宋_GB2312" w:eastAsia="仿宋_GB2312" w:cs="仿宋_GB2312"/>
              <w:b/>
              <w:bCs/>
              <w:sz w:val="28"/>
              <w:szCs w:val="32"/>
              <w:highlight w:val="none"/>
            </w:rPr>
            <w:t>- 4 -</w:t>
          </w:r>
          <w:r>
            <w:rPr>
              <w:rFonts w:ascii="仿宋_GB2312" w:hAnsi="仿宋_GB2312" w:eastAsia="仿宋_GB2312" w:cs="仿宋_GB2312"/>
              <w:b/>
              <w:bCs/>
              <w:sz w:val="28"/>
              <w:szCs w:val="32"/>
              <w:highlight w:val="none"/>
            </w:rPr>
            <w:fldChar w:fldCharType="end"/>
          </w:r>
          <w:r>
            <w:rPr>
              <w:rFonts w:ascii="仿宋_GB2312" w:hAnsi="仿宋_GB2312" w:eastAsia="仿宋_GB2312" w:cs="仿宋_GB2312"/>
              <w:b/>
              <w:bCs/>
              <w:sz w:val="28"/>
              <w:szCs w:val="32"/>
              <w:highlight w:val="none"/>
            </w:rPr>
            <w:fldChar w:fldCharType="end"/>
          </w:r>
        </w:p>
        <w:p>
          <w:pPr>
            <w:pStyle w:val="9"/>
            <w:tabs>
              <w:tab w:val="right" w:leader="dot" w:pos="8844"/>
              <w:tab w:val="clear" w:pos="8834"/>
            </w:tabs>
            <w:rPr>
              <w:rFonts w:hint="eastAsia"/>
              <w:b/>
              <w:bCs/>
              <w:highlight w:val="none"/>
            </w:rPr>
          </w:pPr>
          <w:r>
            <w:rPr>
              <w:highlight w:val="none"/>
            </w:rPr>
            <w:fldChar w:fldCharType="begin"/>
          </w:r>
          <w:r>
            <w:rPr>
              <w:highlight w:val="none"/>
            </w:rPr>
            <w:instrText xml:space="preserve"> HYPERLINK \l "_Toc24958" </w:instrText>
          </w:r>
          <w:r>
            <w:rPr>
              <w:highlight w:val="none"/>
            </w:rPr>
            <w:fldChar w:fldCharType="separate"/>
          </w:r>
          <w:r>
            <w:rPr>
              <w:rFonts w:hint="eastAsia"/>
              <w:b/>
              <w:bCs/>
              <w:highlight w:val="none"/>
            </w:rPr>
            <w:t>二、企业环境信息依法披露系统操作手册</w:t>
          </w:r>
          <w:r>
            <w:rPr>
              <w:rFonts w:hint="eastAsia"/>
              <w:b/>
              <w:bCs/>
              <w:highlight w:val="none"/>
            </w:rPr>
            <w:tab/>
          </w:r>
          <w:r>
            <w:rPr>
              <w:rFonts w:hAnsi="仿宋_GB2312" w:cs="仿宋_GB2312"/>
              <w:b/>
              <w:bCs/>
              <w:sz w:val="28"/>
              <w:highlight w:val="none"/>
            </w:rPr>
            <w:fldChar w:fldCharType="begin"/>
          </w:r>
          <w:r>
            <w:rPr>
              <w:rFonts w:hint="eastAsia" w:hAnsi="仿宋_GB2312" w:cs="仿宋_GB2312"/>
              <w:b/>
              <w:bCs/>
              <w:sz w:val="28"/>
              <w:highlight w:val="none"/>
            </w:rPr>
            <w:instrText xml:space="preserve"> PAGEREF _Toc24958 \h </w:instrText>
          </w:r>
          <w:r>
            <w:rPr>
              <w:rFonts w:hAnsi="仿宋_GB2312" w:cs="仿宋_GB2312"/>
              <w:b/>
              <w:bCs/>
              <w:sz w:val="28"/>
              <w:highlight w:val="none"/>
            </w:rPr>
            <w:fldChar w:fldCharType="separate"/>
          </w:r>
          <w:r>
            <w:rPr>
              <w:rFonts w:hint="eastAsia" w:hAnsi="仿宋_GB2312" w:cs="仿宋_GB2312"/>
              <w:b/>
              <w:bCs/>
              <w:sz w:val="28"/>
              <w:highlight w:val="none"/>
            </w:rPr>
            <w:t>- 6 -</w:t>
          </w:r>
          <w:r>
            <w:rPr>
              <w:rFonts w:hAnsi="仿宋_GB2312" w:cs="仿宋_GB2312"/>
              <w:b/>
              <w:bCs/>
              <w:sz w:val="28"/>
              <w:highlight w:val="none"/>
            </w:rPr>
            <w:fldChar w:fldCharType="end"/>
          </w:r>
          <w:r>
            <w:rPr>
              <w:rFonts w:hAnsi="仿宋_GB2312" w:cs="仿宋_GB2312"/>
              <w:b/>
              <w:bCs/>
              <w:sz w:val="28"/>
              <w:highlight w:val="none"/>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"_Toc23423" </w:instrText>
          </w:r>
          <w:r>
            <w:rPr>
              <w:highlight w:val="none"/>
            </w:rPr>
            <w:fldChar w:fldCharType="separate"/>
          </w:r>
          <w:r>
            <w:rPr>
              <w:rFonts w:ascii="仿宋_GB2312" w:hAnsi="仿宋_GB2312" w:eastAsia="仿宋_GB2312" w:cs="仿宋_GB2312"/>
              <w:b/>
              <w:bCs/>
              <w:sz w:val="28"/>
              <w:szCs w:val="44"/>
              <w:highlight w:val="none"/>
              <w:lang w:val="zh-CN"/>
            </w:rPr>
            <w:t xml:space="preserve">1. </w:t>
          </w:r>
          <w:r>
            <w:rPr>
              <w:rFonts w:hint="eastAsia" w:ascii="仿宋_GB2312" w:hAnsi="仿宋_GB2312" w:eastAsia="仿宋_GB2312" w:cs="仿宋_GB2312"/>
              <w:b/>
              <w:bCs/>
              <w:sz w:val="28"/>
              <w:szCs w:val="44"/>
              <w:highlight w:val="none"/>
              <w:lang w:val="zh-CN"/>
            </w:rPr>
            <w:t>账号注册</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_Toc23423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- 6 -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b/>
              <w:bCs/>
              <w:highlight w:val="none"/>
            </w:rPr>
          </w:pPr>
          <w:r>
            <w:rPr>
              <w:highlight w:val="none"/>
            </w:rPr>
            <w:fldChar w:fldCharType="begin"/>
          </w:r>
          <w:r>
            <w:rPr>
              <w:highlight w:val="none"/>
            </w:rPr>
            <w:instrText xml:space="preserve"> HYPERLINK \l "_Toc23727" </w:instrText>
          </w:r>
          <w:r>
            <w:rPr>
              <w:highlight w:val="none"/>
            </w:rPr>
            <w:fldChar w:fldCharType="separate"/>
          </w:r>
          <w:r>
            <w:rPr>
              <w:rFonts w:ascii="仿宋_GB2312" w:hAnsi="仿宋_GB2312" w:eastAsia="仿宋_GB2312" w:cs="仿宋_GB2312"/>
              <w:b/>
              <w:bCs/>
              <w:sz w:val="28"/>
              <w:szCs w:val="44"/>
              <w:highlight w:val="none"/>
              <w:lang w:val="zh-CN"/>
            </w:rPr>
            <w:t xml:space="preserve">2. </w:t>
          </w:r>
          <w:r>
            <w:rPr>
              <w:rFonts w:hint="eastAsia" w:ascii="仿宋_GB2312" w:hAnsi="仿宋_GB2312" w:eastAsia="仿宋_GB2312" w:cs="仿宋_GB2312"/>
              <w:b/>
              <w:bCs/>
              <w:sz w:val="28"/>
              <w:szCs w:val="44"/>
              <w:highlight w:val="none"/>
              <w:lang w:val="zh-CN"/>
            </w:rPr>
            <w:t>系统登录</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_Toc23727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- 12 -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9"/>
            <w:tabs>
              <w:tab w:val="right" w:leader="dot" w:pos="8844"/>
              <w:tab w:val="clear" w:pos="8834"/>
            </w:tabs>
            <w:rPr>
              <w:rFonts w:hint="eastAsia"/>
              <w:b/>
              <w:bCs/>
              <w:highlight w:val="none"/>
            </w:rPr>
          </w:pPr>
          <w:r>
            <w:rPr>
              <w:highlight w:val="none"/>
            </w:rPr>
            <w:fldChar w:fldCharType="begin"/>
          </w:r>
          <w:r>
            <w:rPr>
              <w:highlight w:val="none"/>
            </w:rPr>
            <w:instrText xml:space="preserve"> HYPERLINK \l "_Toc7707" </w:instrText>
          </w:r>
          <w:r>
            <w:rPr>
              <w:highlight w:val="none"/>
            </w:rPr>
            <w:fldChar w:fldCharType="separate"/>
          </w:r>
          <w:r>
            <w:rPr>
              <w:rFonts w:hint="eastAsia"/>
              <w:b/>
              <w:bCs/>
              <w:highlight w:val="none"/>
              <w:lang w:val="zh-CN"/>
            </w:rPr>
            <w:t>三</w:t>
          </w:r>
          <w:r>
            <w:rPr>
              <w:rFonts w:hint="eastAsia"/>
              <w:b/>
              <w:bCs/>
              <w:highlight w:val="none"/>
            </w:rPr>
            <w:t>、 临时报告填报指南</w:t>
          </w:r>
          <w:r>
            <w:rPr>
              <w:rFonts w:hint="eastAsia"/>
              <w:b/>
              <w:bCs/>
              <w:highlight w:val="none"/>
            </w:rPr>
            <w:tab/>
          </w:r>
          <w:r>
            <w:rPr>
              <w:rFonts w:hAnsi="仿宋_GB2312" w:cs="仿宋_GB2312"/>
              <w:b/>
              <w:bCs/>
              <w:sz w:val="28"/>
              <w:highlight w:val="none"/>
            </w:rPr>
            <w:fldChar w:fldCharType="begin"/>
          </w:r>
          <w:r>
            <w:rPr>
              <w:rFonts w:hint="eastAsia" w:hAnsi="仿宋_GB2312" w:cs="仿宋_GB2312"/>
              <w:b/>
              <w:bCs/>
              <w:sz w:val="28"/>
              <w:highlight w:val="none"/>
            </w:rPr>
            <w:instrText xml:space="preserve"> PAGEREF _Toc7707 \h </w:instrText>
          </w:r>
          <w:r>
            <w:rPr>
              <w:rFonts w:hAnsi="仿宋_GB2312" w:cs="仿宋_GB2312"/>
              <w:b/>
              <w:bCs/>
              <w:sz w:val="28"/>
              <w:highlight w:val="none"/>
            </w:rPr>
            <w:fldChar w:fldCharType="separate"/>
          </w:r>
          <w:r>
            <w:rPr>
              <w:rFonts w:hint="eastAsia" w:hAnsi="仿宋_GB2312" w:cs="仿宋_GB2312"/>
              <w:b/>
              <w:bCs/>
              <w:sz w:val="28"/>
              <w:highlight w:val="none"/>
            </w:rPr>
            <w:t>- 16 -</w:t>
          </w:r>
          <w:r>
            <w:rPr>
              <w:rFonts w:hAnsi="仿宋_GB2312" w:cs="仿宋_GB2312"/>
              <w:b/>
              <w:bCs/>
              <w:sz w:val="28"/>
              <w:highlight w:val="none"/>
            </w:rPr>
            <w:fldChar w:fldCharType="end"/>
          </w:r>
          <w:r>
            <w:rPr>
              <w:rFonts w:hAnsi="仿宋_GB2312" w:cs="仿宋_GB2312"/>
              <w:b/>
              <w:bCs/>
              <w:sz w:val="28"/>
              <w:highlight w:val="none"/>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"_Toc18776" </w:instrText>
          </w:r>
          <w:r>
            <w:rPr>
              <w:highlight w:val="none"/>
            </w:rPr>
            <w:fldChar w:fldCharType="separate"/>
          </w:r>
          <w:r>
            <w:rPr>
              <w:rFonts w:ascii="仿宋_GB2312" w:hAnsi="仿宋_GB2312" w:eastAsia="仿宋_GB2312" w:cs="仿宋_GB2312"/>
              <w:b/>
              <w:bCs/>
              <w:sz w:val="28"/>
              <w:szCs w:val="44"/>
              <w:highlight w:val="none"/>
              <w:lang w:val="zh-CN"/>
            </w:rPr>
            <w:t xml:space="preserve">1. </w:t>
          </w:r>
          <w:r>
            <w:rPr>
              <w:rFonts w:hint="eastAsia" w:ascii="仿宋_GB2312" w:hAnsi="仿宋_GB2312" w:eastAsia="仿宋_GB2312" w:cs="仿宋_GB2312"/>
              <w:b/>
              <w:bCs/>
              <w:sz w:val="28"/>
              <w:szCs w:val="44"/>
              <w:highlight w:val="none"/>
              <w:lang w:val="zh-CN"/>
            </w:rPr>
            <w:t>实施临时披露的情形</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_Toc18776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- 16 -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"_Toc23299" </w:instrText>
          </w:r>
          <w:r>
            <w:rPr>
              <w:highlight w:val="none"/>
            </w:rPr>
            <w:fldChar w:fldCharType="separate"/>
          </w:r>
          <w:r>
            <w:rPr>
              <w:rFonts w:ascii="仿宋_GB2312" w:hAnsi="仿宋_GB2312" w:eastAsia="仿宋_GB2312" w:cs="仿宋_GB2312"/>
              <w:b/>
              <w:bCs/>
              <w:sz w:val="28"/>
              <w:szCs w:val="44"/>
              <w:highlight w:val="none"/>
              <w:lang w:val="zh-CN"/>
            </w:rPr>
            <w:t xml:space="preserve">2. </w:t>
          </w:r>
          <w:r>
            <w:rPr>
              <w:rFonts w:hint="eastAsia" w:ascii="仿宋_GB2312" w:hAnsi="仿宋_GB2312" w:eastAsia="仿宋_GB2312" w:cs="仿宋_GB2312"/>
              <w:b/>
              <w:bCs/>
              <w:sz w:val="28"/>
              <w:szCs w:val="44"/>
              <w:highlight w:val="none"/>
              <w:lang w:val="zh-CN"/>
            </w:rPr>
            <w:t>临时报告的填报要求</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_Toc23299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- 16 -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b/>
              <w:bCs/>
              <w:highlight w:val="none"/>
            </w:rPr>
          </w:pPr>
          <w:r>
            <w:rPr>
              <w:highlight w:val="none"/>
            </w:rPr>
            <w:fldChar w:fldCharType="begin"/>
          </w:r>
          <w:r>
            <w:rPr>
              <w:highlight w:val="none"/>
            </w:rPr>
            <w:instrText xml:space="preserve"> HYPERLINK \l "_Toc18957" </w:instrText>
          </w:r>
          <w:r>
            <w:rPr>
              <w:highlight w:val="none"/>
            </w:rPr>
            <w:fldChar w:fldCharType="separate"/>
          </w:r>
          <w:r>
            <w:rPr>
              <w:rFonts w:ascii="仿宋_GB2312" w:hAnsi="仿宋_GB2312" w:eastAsia="仿宋_GB2312" w:cs="仿宋_GB2312"/>
              <w:b/>
              <w:bCs/>
              <w:sz w:val="28"/>
              <w:szCs w:val="44"/>
              <w:highlight w:val="none"/>
              <w:lang w:val="zh-CN"/>
            </w:rPr>
            <w:t xml:space="preserve">3. </w:t>
          </w:r>
          <w:r>
            <w:rPr>
              <w:rFonts w:hint="eastAsia" w:ascii="仿宋_GB2312" w:hAnsi="仿宋_GB2312" w:eastAsia="仿宋_GB2312" w:cs="仿宋_GB2312"/>
              <w:b/>
              <w:bCs/>
              <w:sz w:val="28"/>
              <w:szCs w:val="44"/>
              <w:highlight w:val="none"/>
              <w:lang w:val="zh-CN"/>
            </w:rPr>
            <w:t>临时报告的披露时限</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_Toc18957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- 17 -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9"/>
            <w:tabs>
              <w:tab w:val="right" w:leader="dot" w:pos="8844"/>
              <w:tab w:val="clear" w:pos="8834"/>
            </w:tabs>
            <w:rPr>
              <w:rFonts w:hint="eastAsia"/>
              <w:b/>
              <w:bCs/>
              <w:highlight w:val="none"/>
            </w:rPr>
          </w:pPr>
          <w:r>
            <w:rPr>
              <w:highlight w:val="none"/>
            </w:rPr>
            <w:fldChar w:fldCharType="begin"/>
          </w:r>
          <w:r>
            <w:rPr>
              <w:highlight w:val="none"/>
            </w:rPr>
            <w:instrText xml:space="preserve"> HYPERLINK \l "_Toc30072" </w:instrText>
          </w:r>
          <w:r>
            <w:rPr>
              <w:highlight w:val="none"/>
            </w:rPr>
            <w:fldChar w:fldCharType="separate"/>
          </w:r>
          <w:r>
            <w:rPr>
              <w:rFonts w:hint="eastAsia"/>
              <w:b/>
              <w:bCs/>
              <w:highlight w:val="none"/>
              <w:lang w:val="zh-CN"/>
            </w:rPr>
            <w:t>四</w:t>
          </w:r>
          <w:r>
            <w:rPr>
              <w:rFonts w:hint="eastAsia"/>
              <w:b/>
              <w:bCs/>
              <w:highlight w:val="none"/>
            </w:rPr>
            <w:t>、 年度报告填报指南</w:t>
          </w:r>
          <w:r>
            <w:rPr>
              <w:rFonts w:hint="eastAsia"/>
              <w:b/>
              <w:bCs/>
              <w:highlight w:val="none"/>
            </w:rPr>
            <w:tab/>
          </w:r>
          <w:r>
            <w:rPr>
              <w:rFonts w:hAnsi="仿宋_GB2312" w:cs="仿宋_GB2312"/>
              <w:b/>
              <w:bCs/>
              <w:sz w:val="28"/>
              <w:highlight w:val="none"/>
            </w:rPr>
            <w:fldChar w:fldCharType="begin"/>
          </w:r>
          <w:r>
            <w:rPr>
              <w:rFonts w:hint="eastAsia" w:hAnsi="仿宋_GB2312" w:cs="仿宋_GB2312"/>
              <w:b/>
              <w:bCs/>
              <w:sz w:val="28"/>
              <w:highlight w:val="none"/>
            </w:rPr>
            <w:instrText xml:space="preserve"> PAGEREF _Toc30072 \h </w:instrText>
          </w:r>
          <w:r>
            <w:rPr>
              <w:rFonts w:hAnsi="仿宋_GB2312" w:cs="仿宋_GB2312"/>
              <w:b/>
              <w:bCs/>
              <w:sz w:val="28"/>
              <w:highlight w:val="none"/>
            </w:rPr>
            <w:fldChar w:fldCharType="separate"/>
          </w:r>
          <w:r>
            <w:rPr>
              <w:rFonts w:hint="eastAsia" w:hAnsi="仿宋_GB2312" w:cs="仿宋_GB2312"/>
              <w:b/>
              <w:bCs/>
              <w:sz w:val="28"/>
              <w:highlight w:val="none"/>
            </w:rPr>
            <w:t>- 18 -</w:t>
          </w:r>
          <w:r>
            <w:rPr>
              <w:rFonts w:hAnsi="仿宋_GB2312" w:cs="仿宋_GB2312"/>
              <w:b/>
              <w:bCs/>
              <w:sz w:val="28"/>
              <w:highlight w:val="none"/>
            </w:rPr>
            <w:fldChar w:fldCharType="end"/>
          </w:r>
          <w:r>
            <w:rPr>
              <w:rFonts w:hAnsi="仿宋_GB2312" w:cs="仿宋_GB2312"/>
              <w:b/>
              <w:bCs/>
              <w:sz w:val="28"/>
              <w:highlight w:val="none"/>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"_Toc22591" </w:instrText>
          </w:r>
          <w:r>
            <w:rPr>
              <w:highlight w:val="none"/>
            </w:rPr>
            <w:fldChar w:fldCharType="separate"/>
          </w:r>
          <w:r>
            <w:rPr>
              <w:rFonts w:ascii="仿宋_GB2312" w:hAnsi="仿宋_GB2312" w:eastAsia="仿宋_GB2312" w:cs="仿宋_GB2312"/>
              <w:b/>
              <w:bCs/>
              <w:sz w:val="28"/>
              <w:szCs w:val="44"/>
              <w:highlight w:val="none"/>
              <w:lang w:val="zh-CN"/>
            </w:rPr>
            <w:t xml:space="preserve">1. </w:t>
          </w:r>
          <w:r>
            <w:rPr>
              <w:rFonts w:hint="eastAsia" w:ascii="仿宋_GB2312" w:hAnsi="仿宋_GB2312" w:eastAsia="仿宋_GB2312" w:cs="仿宋_GB2312"/>
              <w:b/>
              <w:bCs/>
              <w:sz w:val="28"/>
              <w:szCs w:val="44"/>
              <w:highlight w:val="none"/>
              <w:lang w:val="zh-CN"/>
            </w:rPr>
            <w:t>年度报告封面及扉页</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_Toc22591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- 18 -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"_Toc25083" </w:instrText>
          </w:r>
          <w:r>
            <w:rPr>
              <w:highlight w:val="none"/>
            </w:rPr>
            <w:fldChar w:fldCharType="separate"/>
          </w:r>
          <w:r>
            <w:rPr>
              <w:rFonts w:hint="eastAsia" w:ascii="仿宋_GB2312" w:hAnsi="仿宋_GB2312" w:eastAsia="仿宋_GB2312" w:cs="仿宋_GB2312"/>
              <w:b/>
              <w:bCs/>
              <w:sz w:val="28"/>
              <w:szCs w:val="44"/>
              <w:highlight w:val="none"/>
              <w:lang w:val="zh-CN"/>
            </w:rPr>
            <w:t>2. 关键环境信息提要</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_Toc25083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- 19 -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"_Toc16963" </w:instrText>
          </w:r>
          <w:r>
            <w:rPr>
              <w:highlight w:val="none"/>
            </w:rPr>
            <w:fldChar w:fldCharType="separate"/>
          </w:r>
          <w:r>
            <w:rPr>
              <w:rFonts w:ascii="仿宋_GB2312" w:hAnsi="仿宋_GB2312" w:eastAsia="仿宋_GB2312" w:cs="仿宋_GB2312"/>
              <w:b/>
              <w:bCs/>
              <w:sz w:val="28"/>
              <w:szCs w:val="44"/>
              <w:highlight w:val="none"/>
              <w:lang w:val="zh-CN"/>
            </w:rPr>
            <w:t xml:space="preserve">3. </w:t>
          </w:r>
          <w:r>
            <w:rPr>
              <w:rFonts w:hint="eastAsia" w:ascii="仿宋_GB2312" w:hAnsi="仿宋_GB2312" w:eastAsia="仿宋_GB2312" w:cs="仿宋_GB2312"/>
              <w:b/>
              <w:bCs/>
              <w:sz w:val="28"/>
              <w:szCs w:val="44"/>
              <w:highlight w:val="none"/>
              <w:lang w:val="zh-CN"/>
            </w:rPr>
            <w:t>承诺声明</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_Toc16963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- 22 -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"_Toc11747" </w:instrText>
          </w:r>
          <w:r>
            <w:rPr>
              <w:highlight w:val="none"/>
            </w:rPr>
            <w:fldChar w:fldCharType="separate"/>
          </w:r>
          <w:r>
            <w:rPr>
              <w:rFonts w:ascii="仿宋_GB2312" w:hAnsi="仿宋_GB2312" w:eastAsia="仿宋_GB2312" w:cs="仿宋_GB2312"/>
              <w:b/>
              <w:bCs/>
              <w:sz w:val="28"/>
              <w:szCs w:val="44"/>
              <w:highlight w:val="none"/>
              <w:lang w:val="zh-CN"/>
            </w:rPr>
            <w:t xml:space="preserve">4. </w:t>
          </w:r>
          <w:r>
            <w:rPr>
              <w:rFonts w:hint="eastAsia" w:ascii="仿宋_GB2312" w:hAnsi="仿宋_GB2312" w:eastAsia="仿宋_GB2312" w:cs="仿宋_GB2312"/>
              <w:b/>
              <w:bCs/>
              <w:sz w:val="28"/>
              <w:szCs w:val="44"/>
              <w:highlight w:val="none"/>
              <w:lang w:val="zh-CN"/>
            </w:rPr>
            <w:t>企业基本信息</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_Toc11747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- 23 -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"_Toc30404" </w:instrText>
          </w:r>
          <w:r>
            <w:rPr>
              <w:highlight w:val="none"/>
            </w:rPr>
            <w:fldChar w:fldCharType="separate"/>
          </w:r>
          <w:r>
            <w:rPr>
              <w:rFonts w:ascii="仿宋_GB2312" w:hAnsi="仿宋_GB2312" w:eastAsia="仿宋_GB2312" w:cs="仿宋_GB2312"/>
              <w:b/>
              <w:bCs/>
              <w:sz w:val="28"/>
              <w:szCs w:val="44"/>
              <w:highlight w:val="none"/>
              <w:lang w:val="zh-CN"/>
            </w:rPr>
            <w:t xml:space="preserve">5. </w:t>
          </w:r>
          <w:r>
            <w:rPr>
              <w:rFonts w:hint="eastAsia" w:ascii="仿宋_GB2312" w:hAnsi="仿宋_GB2312" w:eastAsia="仿宋_GB2312" w:cs="仿宋_GB2312"/>
              <w:b/>
              <w:bCs/>
              <w:sz w:val="28"/>
              <w:szCs w:val="44"/>
              <w:highlight w:val="none"/>
              <w:lang w:val="zh-CN"/>
            </w:rPr>
            <w:t>企业环境管理信息</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_Toc30404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- 28 -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"_Toc9553" </w:instrText>
          </w:r>
          <w:r>
            <w:rPr>
              <w:highlight w:val="none"/>
            </w:rPr>
            <w:fldChar w:fldCharType="separate"/>
          </w:r>
          <w:r>
            <w:rPr>
              <w:rFonts w:ascii="仿宋_GB2312" w:hAnsi="仿宋_GB2312" w:eastAsia="仿宋_GB2312" w:cs="仿宋_GB2312"/>
              <w:b/>
              <w:bCs/>
              <w:sz w:val="28"/>
              <w:szCs w:val="44"/>
              <w:highlight w:val="none"/>
              <w:lang w:val="zh-CN"/>
            </w:rPr>
            <w:t xml:space="preserve">6. </w:t>
          </w:r>
          <w:r>
            <w:rPr>
              <w:rFonts w:hint="eastAsia" w:ascii="仿宋_GB2312" w:hAnsi="仿宋_GB2312" w:eastAsia="仿宋_GB2312" w:cs="仿宋_GB2312"/>
              <w:b/>
              <w:bCs/>
              <w:sz w:val="28"/>
              <w:szCs w:val="44"/>
              <w:highlight w:val="none"/>
              <w:lang w:val="zh-CN"/>
            </w:rPr>
            <w:t>企业污染物产生、治理与排放信息</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_Toc9553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- 32 -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"_Toc14542" </w:instrText>
          </w:r>
          <w:r>
            <w:rPr>
              <w:highlight w:val="none"/>
            </w:rPr>
            <w:fldChar w:fldCharType="separate"/>
          </w:r>
          <w:r>
            <w:rPr>
              <w:rFonts w:ascii="仿宋_GB2312" w:hAnsi="仿宋_GB2312" w:eastAsia="仿宋_GB2312" w:cs="仿宋_GB2312"/>
              <w:b/>
              <w:bCs/>
              <w:sz w:val="28"/>
              <w:szCs w:val="44"/>
              <w:highlight w:val="none"/>
              <w:lang w:val="zh-CN"/>
            </w:rPr>
            <w:t xml:space="preserve">7. </w:t>
          </w:r>
          <w:r>
            <w:rPr>
              <w:rFonts w:hint="eastAsia" w:ascii="仿宋_GB2312" w:hAnsi="仿宋_GB2312" w:eastAsia="仿宋_GB2312" w:cs="仿宋_GB2312"/>
              <w:b/>
              <w:bCs/>
              <w:sz w:val="28"/>
              <w:szCs w:val="44"/>
              <w:highlight w:val="none"/>
              <w:lang w:val="zh-CN"/>
            </w:rPr>
            <w:t>碳排放信息</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_Toc14542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- 52 -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"_Toc12508" </w:instrText>
          </w:r>
          <w:r>
            <w:rPr>
              <w:highlight w:val="none"/>
            </w:rPr>
            <w:fldChar w:fldCharType="separate"/>
          </w:r>
          <w:r>
            <w:rPr>
              <w:rFonts w:ascii="仿宋_GB2312" w:hAnsi="仿宋_GB2312" w:eastAsia="仿宋_GB2312" w:cs="仿宋_GB2312"/>
              <w:b/>
              <w:bCs/>
              <w:sz w:val="28"/>
              <w:szCs w:val="44"/>
              <w:highlight w:val="none"/>
              <w:lang w:val="zh-CN"/>
            </w:rPr>
            <w:t xml:space="preserve">8. </w:t>
          </w:r>
          <w:r>
            <w:rPr>
              <w:rFonts w:hint="eastAsia" w:ascii="仿宋_GB2312" w:hAnsi="仿宋_GB2312" w:eastAsia="仿宋_GB2312" w:cs="仿宋_GB2312"/>
              <w:b/>
              <w:bCs/>
              <w:sz w:val="28"/>
              <w:szCs w:val="44"/>
              <w:highlight w:val="none"/>
              <w:lang w:val="zh-CN"/>
            </w:rPr>
            <w:t>生态环境应急信息</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_Toc12508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- 54 -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"_Toc16719" </w:instrText>
          </w:r>
          <w:r>
            <w:rPr>
              <w:highlight w:val="none"/>
            </w:rPr>
            <w:fldChar w:fldCharType="separate"/>
          </w:r>
          <w:r>
            <w:rPr>
              <w:rFonts w:ascii="仿宋_GB2312" w:hAnsi="仿宋_GB2312" w:eastAsia="仿宋_GB2312" w:cs="仿宋_GB2312"/>
              <w:b/>
              <w:bCs/>
              <w:sz w:val="28"/>
              <w:szCs w:val="44"/>
              <w:highlight w:val="none"/>
              <w:lang w:val="zh-CN"/>
            </w:rPr>
            <w:t xml:space="preserve">9. </w:t>
          </w:r>
          <w:r>
            <w:rPr>
              <w:rFonts w:hint="eastAsia" w:ascii="仿宋_GB2312" w:hAnsi="仿宋_GB2312" w:eastAsia="仿宋_GB2312" w:cs="仿宋_GB2312"/>
              <w:b/>
              <w:bCs/>
              <w:sz w:val="28"/>
              <w:szCs w:val="44"/>
              <w:highlight w:val="none"/>
              <w:lang w:val="zh-CN"/>
            </w:rPr>
            <w:t>生态环境违法信息</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_Toc16719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- 59 -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"_Toc13710" </w:instrText>
          </w:r>
          <w:r>
            <w:rPr>
              <w:highlight w:val="none"/>
            </w:rPr>
            <w:fldChar w:fldCharType="separate"/>
          </w:r>
          <w:r>
            <w:rPr>
              <w:rFonts w:ascii="仿宋_GB2312" w:hAnsi="仿宋_GB2312" w:eastAsia="仿宋_GB2312" w:cs="仿宋_GB2312"/>
              <w:b/>
              <w:bCs/>
              <w:sz w:val="28"/>
              <w:szCs w:val="44"/>
              <w:highlight w:val="none"/>
              <w:lang w:val="zh-CN"/>
            </w:rPr>
            <w:t xml:space="preserve">10. </w:t>
          </w:r>
          <w:r>
            <w:rPr>
              <w:rFonts w:hint="eastAsia" w:ascii="仿宋_GB2312" w:hAnsi="仿宋_GB2312" w:eastAsia="仿宋_GB2312" w:cs="仿宋_GB2312"/>
              <w:b/>
              <w:bCs/>
              <w:sz w:val="28"/>
              <w:szCs w:val="44"/>
              <w:highlight w:val="none"/>
              <w:lang w:val="zh-CN"/>
            </w:rPr>
            <w:t>法律法规规定其他环境信息</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_Toc13710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- 60 -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"_Toc31160" </w:instrText>
          </w:r>
          <w:r>
            <w:rPr>
              <w:highlight w:val="none"/>
            </w:rPr>
            <w:fldChar w:fldCharType="separate"/>
          </w:r>
          <w:r>
            <w:rPr>
              <w:rFonts w:ascii="仿宋_GB2312" w:hAnsi="仿宋_GB2312" w:eastAsia="仿宋_GB2312" w:cs="仿宋_GB2312"/>
              <w:b/>
              <w:bCs/>
              <w:sz w:val="28"/>
              <w:szCs w:val="44"/>
              <w:highlight w:val="none"/>
              <w:lang w:val="zh-CN"/>
            </w:rPr>
            <w:t xml:space="preserve">11. </w:t>
          </w:r>
          <w:r>
            <w:rPr>
              <w:rFonts w:hint="eastAsia" w:ascii="仿宋_GB2312" w:hAnsi="仿宋_GB2312" w:eastAsia="仿宋_GB2312" w:cs="仿宋_GB2312"/>
              <w:b/>
              <w:bCs/>
              <w:sz w:val="28"/>
              <w:szCs w:val="44"/>
              <w:highlight w:val="none"/>
              <w:lang w:val="zh-CN"/>
            </w:rPr>
            <w:t>强制性清洁生产审核信息</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_Toc31160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- 62 -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ascii="仿宋_GB2312" w:hAnsi="仿宋_GB2312" w:eastAsia="仿宋_GB2312" w:cs="仿宋_GB2312"/>
              <w:b/>
              <w:bCs/>
              <w:sz w:val="28"/>
              <w:szCs w:val="44"/>
              <w:highlight w:val="none"/>
              <w:lang w:val="zh-CN"/>
            </w:rPr>
          </w:pPr>
          <w:r>
            <w:rPr>
              <w:highlight w:val="none"/>
            </w:rPr>
            <w:fldChar w:fldCharType="begin"/>
          </w:r>
          <w:r>
            <w:rPr>
              <w:highlight w:val="none"/>
            </w:rPr>
            <w:instrText xml:space="preserve"> HYPERLINK \l "_Toc21880" </w:instrText>
          </w:r>
          <w:r>
            <w:rPr>
              <w:highlight w:val="none"/>
            </w:rPr>
            <w:fldChar w:fldCharType="separate"/>
          </w:r>
          <w:r>
            <w:rPr>
              <w:rFonts w:ascii="仿宋_GB2312" w:hAnsi="仿宋_GB2312" w:eastAsia="仿宋_GB2312" w:cs="仿宋_GB2312"/>
              <w:b/>
              <w:bCs/>
              <w:sz w:val="28"/>
              <w:szCs w:val="44"/>
              <w:highlight w:val="none"/>
              <w:lang w:val="zh-CN"/>
            </w:rPr>
            <w:t xml:space="preserve">12. </w:t>
          </w:r>
          <w:r>
            <w:rPr>
              <w:rFonts w:hint="eastAsia" w:ascii="仿宋_GB2312" w:hAnsi="仿宋_GB2312" w:eastAsia="仿宋_GB2312" w:cs="仿宋_GB2312"/>
              <w:b/>
              <w:bCs/>
              <w:sz w:val="28"/>
              <w:szCs w:val="44"/>
              <w:highlight w:val="none"/>
              <w:lang w:val="zh-CN"/>
            </w:rPr>
            <w:t>相关投融资的生态环保信息</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_Toc21880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- 64 -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pStyle w:val="10"/>
            <w:tabs>
              <w:tab w:val="right" w:leader="dot" w:pos="8844"/>
            </w:tabs>
            <w:rPr>
              <w:rFonts w:hint="eastAsia"/>
              <w:b/>
              <w:bCs/>
              <w:highlight w:val="none"/>
            </w:rPr>
          </w:pPr>
          <w:r>
            <w:rPr>
              <w:highlight w:val="none"/>
            </w:rPr>
            <w:fldChar w:fldCharType="begin"/>
          </w:r>
          <w:r>
            <w:rPr>
              <w:highlight w:val="none"/>
            </w:rPr>
            <w:instrText xml:space="preserve"> HYPERLINK \l "_Toc26798" </w:instrText>
          </w:r>
          <w:r>
            <w:rPr>
              <w:highlight w:val="none"/>
            </w:rPr>
            <w:fldChar w:fldCharType="separate"/>
          </w:r>
          <w:r>
            <w:rPr>
              <w:rFonts w:ascii="仿宋_GB2312" w:hAnsi="仿宋_GB2312" w:eastAsia="仿宋_GB2312" w:cs="仿宋_GB2312"/>
              <w:b/>
              <w:bCs/>
              <w:sz w:val="28"/>
              <w:szCs w:val="44"/>
              <w:highlight w:val="none"/>
              <w:lang w:val="zh-CN"/>
            </w:rPr>
            <w:t xml:space="preserve">13. </w:t>
          </w:r>
          <w:r>
            <w:rPr>
              <w:rFonts w:hint="eastAsia" w:ascii="仿宋_GB2312" w:hAnsi="仿宋_GB2312" w:eastAsia="仿宋_GB2312" w:cs="仿宋_GB2312"/>
              <w:b/>
              <w:bCs/>
              <w:sz w:val="28"/>
              <w:szCs w:val="44"/>
              <w:highlight w:val="none"/>
              <w:lang w:val="zh-CN"/>
            </w:rPr>
            <w:t>报告发布</w:t>
          </w:r>
          <w:r>
            <w:rPr>
              <w:rFonts w:hint="eastAsia" w:ascii="仿宋_GB2312" w:hAnsi="仿宋_GB2312" w:eastAsia="仿宋_GB2312" w:cs="仿宋_GB2312"/>
              <w:b/>
              <w:bCs/>
              <w:sz w:val="28"/>
              <w:szCs w:val="44"/>
              <w:highlight w:val="none"/>
              <w:lang w:val="zh-CN"/>
            </w:rPr>
            <w:tab/>
          </w:r>
          <w:r>
            <w:rPr>
              <w:rFonts w:ascii="仿宋_GB2312" w:hAnsi="仿宋_GB2312" w:eastAsia="仿宋_GB2312" w:cs="仿宋_GB2312"/>
              <w:b/>
              <w:bCs/>
              <w:sz w:val="28"/>
              <w:szCs w:val="44"/>
              <w:highlight w:val="none"/>
              <w:lang w:val="zh-CN"/>
            </w:rPr>
            <w:fldChar w:fldCharType="begin"/>
          </w:r>
          <w:r>
            <w:rPr>
              <w:rFonts w:hint="eastAsia" w:ascii="仿宋_GB2312" w:hAnsi="仿宋_GB2312" w:eastAsia="仿宋_GB2312" w:cs="仿宋_GB2312"/>
              <w:b/>
              <w:bCs/>
              <w:sz w:val="28"/>
              <w:szCs w:val="44"/>
              <w:highlight w:val="none"/>
              <w:lang w:val="zh-CN"/>
            </w:rPr>
            <w:instrText xml:space="preserve"> PAGEREF _Toc26798 \h </w:instrText>
          </w:r>
          <w:r>
            <w:rPr>
              <w:rFonts w:ascii="仿宋_GB2312" w:hAnsi="仿宋_GB2312" w:eastAsia="仿宋_GB2312" w:cs="仿宋_GB2312"/>
              <w:b/>
              <w:bCs/>
              <w:sz w:val="28"/>
              <w:szCs w:val="44"/>
              <w:highlight w:val="none"/>
              <w:lang w:val="zh-CN"/>
            </w:rPr>
            <w:fldChar w:fldCharType="separate"/>
          </w:r>
          <w:r>
            <w:rPr>
              <w:rFonts w:hint="eastAsia" w:ascii="仿宋_GB2312" w:hAnsi="仿宋_GB2312" w:eastAsia="仿宋_GB2312" w:cs="仿宋_GB2312"/>
              <w:b/>
              <w:bCs/>
              <w:sz w:val="28"/>
              <w:szCs w:val="44"/>
              <w:highlight w:val="none"/>
              <w:lang w:val="zh-CN"/>
            </w:rPr>
            <w:t>- 65 -</w:t>
          </w:r>
          <w:r>
            <w:rPr>
              <w:rFonts w:ascii="仿宋_GB2312" w:hAnsi="仿宋_GB2312" w:eastAsia="仿宋_GB2312" w:cs="仿宋_GB2312"/>
              <w:b/>
              <w:bCs/>
              <w:sz w:val="28"/>
              <w:szCs w:val="44"/>
              <w:highlight w:val="none"/>
              <w:lang w:val="zh-CN"/>
            </w:rPr>
            <w:fldChar w:fldCharType="end"/>
          </w:r>
          <w:r>
            <w:rPr>
              <w:rFonts w:ascii="仿宋_GB2312" w:hAnsi="仿宋_GB2312" w:eastAsia="仿宋_GB2312" w:cs="仿宋_GB2312"/>
              <w:b/>
              <w:bCs/>
              <w:sz w:val="28"/>
              <w:szCs w:val="44"/>
              <w:highlight w:val="none"/>
              <w:lang w:val="zh-CN"/>
            </w:rPr>
            <w:fldChar w:fldCharType="end"/>
          </w:r>
        </w:p>
        <w:p>
          <w:pPr>
            <w:rPr>
              <w:rFonts w:hint="eastAsia"/>
              <w:b/>
              <w:bCs/>
              <w:highlight w:val="none"/>
            </w:rPr>
          </w:pPr>
          <w:r>
            <w:rPr>
              <w:rFonts w:hint="eastAsia" w:ascii="仿宋_GB2312" w:eastAsia="仿宋_GB2312"/>
              <w:b/>
              <w:bCs/>
              <w:sz w:val="32"/>
              <w:szCs w:val="32"/>
              <w:highlight w:val="none"/>
              <w:lang w:val="zh-CN"/>
            </w:rPr>
            <w:fldChar w:fldCharType="end"/>
          </w:r>
        </w:p>
      </w:sdtContent>
    </w:sdt>
    <w:p>
      <w:pPr>
        <w:spacing w:line="560" w:lineRule="exact"/>
        <w:rPr>
          <w:rFonts w:hint="eastAsia" w:ascii="黑体" w:hAnsi="黑体" w:eastAsia="黑体" w:cs="仿宋_GB2312"/>
          <w:b/>
          <w:bCs/>
          <w:kern w:val="0"/>
          <w:sz w:val="32"/>
          <w:szCs w:val="32"/>
          <w:highlight w:val="none"/>
        </w:rPr>
      </w:pPr>
    </w:p>
    <w:p>
      <w:pPr>
        <w:widowControl/>
        <w:jc w:val="left"/>
        <w:rPr>
          <w:rFonts w:hint="eastAsia" w:ascii="黑体" w:hAnsi="黑体" w:eastAsia="黑体" w:cs="仿宋_GB2312"/>
          <w:b/>
          <w:bCs/>
          <w:kern w:val="0"/>
          <w:sz w:val="32"/>
          <w:szCs w:val="32"/>
          <w:highlight w:val="none"/>
        </w:rPr>
      </w:pPr>
      <w:r>
        <w:rPr>
          <w:rFonts w:ascii="黑体" w:hAnsi="黑体" w:eastAsia="黑体" w:cs="仿宋_GB2312"/>
          <w:b/>
          <w:bCs/>
          <w:kern w:val="0"/>
          <w:sz w:val="32"/>
          <w:szCs w:val="32"/>
          <w:highlight w:val="none"/>
        </w:rPr>
        <w:br w:type="page"/>
      </w:r>
    </w:p>
    <w:p>
      <w:pPr>
        <w:pStyle w:val="3"/>
        <w:rPr>
          <w:rFonts w:hint="eastAsia" w:ascii="仿宋_GB2312" w:hAnsi="仿宋_GB2312" w:eastAsia="仿宋_GB2312" w:cs="仿宋_GB2312"/>
          <w:b/>
          <w:szCs w:val="32"/>
          <w:highlight w:val="none"/>
        </w:rPr>
      </w:pPr>
      <w:bookmarkStart w:id="0" w:name="_Toc3525"/>
      <w:bookmarkStart w:id="1" w:name="_Toc143088088"/>
      <w:bookmarkStart w:id="2" w:name="_Toc29159"/>
      <w:r>
        <w:rPr>
          <w:rFonts w:hint="eastAsia"/>
          <w:b/>
          <w:highlight w:val="none"/>
        </w:rPr>
        <w:t>一、企业环境信息披露操作流程图</w:t>
      </w:r>
      <w:bookmarkEnd w:id="0"/>
      <w:bookmarkEnd w:id="1"/>
      <w:bookmarkEnd w:id="2"/>
    </w:p>
    <w:p>
      <w:pPr>
        <w:pStyle w:val="4"/>
        <w:numPr>
          <w:ilvl w:val="0"/>
          <w:numId w:val="1"/>
        </w:numPr>
        <w:rPr>
          <w:rFonts w:hint="eastAsia"/>
          <w:highlight w:val="none"/>
        </w:rPr>
      </w:pPr>
      <w:bookmarkStart w:id="3" w:name="_Toc13684"/>
      <w:bookmarkStart w:id="4" w:name="_Toc4948"/>
      <w:r>
        <w:rPr>
          <w:rFonts w:hint="eastAsia"/>
          <w:highlight w:val="none"/>
        </w:rPr>
        <w:t>临时报告披露流程图</w:t>
      </w:r>
      <w:bookmarkEnd w:id="3"/>
      <w:bookmarkEnd w:id="4"/>
    </w:p>
    <w:p>
      <w:pPr>
        <w:rPr>
          <w:rFonts w:hint="eastAsia"/>
          <w:highlight w:val="none"/>
        </w:rPr>
      </w:pPr>
      <w:r>
        <w:rPr>
          <w:highlight w:val="none"/>
        </w:rPr>
        <w:drawing>
          <wp:inline distT="0" distB="0" distL="0" distR="0">
            <wp:extent cx="5454650" cy="6655435"/>
            <wp:effectExtent l="9525" t="9525" r="22225" b="21590"/>
            <wp:docPr id="197787371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77873718" name="图片 1"/>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5454650" cy="6655435"/>
                    </a:xfrm>
                    <a:prstGeom prst="rect">
                      <a:avLst/>
                    </a:prstGeom>
                    <a:noFill/>
                    <a:ln>
                      <a:solidFill>
                        <a:schemeClr val="tx1"/>
                      </a:solidFill>
                    </a:ln>
                  </pic:spPr>
                </pic:pic>
              </a:graphicData>
            </a:graphic>
          </wp:inline>
        </w:drawing>
      </w:r>
    </w:p>
    <w:p>
      <w:pPr>
        <w:pStyle w:val="4"/>
        <w:numPr>
          <w:ilvl w:val="0"/>
          <w:numId w:val="1"/>
        </w:numPr>
        <w:rPr>
          <w:rFonts w:hint="eastAsia"/>
          <w:highlight w:val="none"/>
        </w:rPr>
      </w:pPr>
      <w:bookmarkStart w:id="5" w:name="_Toc5462"/>
      <w:bookmarkStart w:id="6" w:name="_Toc27492"/>
      <w:r>
        <w:rPr>
          <w:rFonts w:hint="eastAsia"/>
          <w:highlight w:val="none"/>
        </w:rPr>
        <w:t>年度报告披露流程图</w:t>
      </w:r>
      <w:bookmarkEnd w:id="5"/>
      <w:bookmarkEnd w:id="6"/>
    </w:p>
    <w:p>
      <w:pPr>
        <w:jc w:val="center"/>
        <w:rPr>
          <w:rFonts w:hint="eastAsia" w:ascii="仿宋_GB2312" w:hAnsi="仿宋_GB2312" w:eastAsia="仿宋_GB2312" w:cs="仿宋_GB2312"/>
          <w:b/>
          <w:bCs/>
          <w:sz w:val="32"/>
          <w:szCs w:val="32"/>
          <w:highlight w:val="none"/>
        </w:rPr>
      </w:pPr>
      <w:r>
        <w:rPr>
          <w:rFonts w:ascii="仿宋_GB2312" w:hAnsi="仿宋_GB2312" w:eastAsia="仿宋_GB2312" w:cs="仿宋_GB2312"/>
          <w:b/>
          <w:bCs/>
          <w:sz w:val="32"/>
          <w:szCs w:val="32"/>
          <w:highlight w:val="none"/>
        </w:rPr>
        <w:drawing>
          <wp:inline distT="0" distB="0" distL="0" distR="0">
            <wp:extent cx="5563235" cy="5538470"/>
            <wp:effectExtent l="9525" t="9525" r="27940" b="14605"/>
            <wp:docPr id="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5563235" cy="5538470"/>
                    </a:xfrm>
                    <a:prstGeom prst="rect">
                      <a:avLst/>
                    </a:prstGeom>
                    <a:noFill/>
                    <a:ln>
                      <a:solidFill>
                        <a:schemeClr val="tx1"/>
                      </a:solidFill>
                    </a:ln>
                  </pic:spPr>
                </pic:pic>
              </a:graphicData>
            </a:graphic>
          </wp:inline>
        </w:drawing>
      </w:r>
    </w:p>
    <w:p>
      <w:pPr>
        <w:jc w:val="center"/>
        <w:rPr>
          <w:rFonts w:hint="eastAsia" w:ascii="仿宋_GB2312" w:hAnsi="仿宋_GB2312" w:eastAsia="仿宋_GB2312" w:cs="仿宋_GB2312"/>
          <w:kern w:val="0"/>
          <w:sz w:val="32"/>
          <w:szCs w:val="32"/>
          <w:highlight w:val="none"/>
        </w:rPr>
      </w:pPr>
    </w:p>
    <w:p>
      <w:pPr>
        <w:jc w:val="center"/>
        <w:rPr>
          <w:rFonts w:hint="eastAsia"/>
          <w:b/>
          <w:highlight w:val="none"/>
        </w:rPr>
      </w:pPr>
      <w:bookmarkStart w:id="7" w:name="_Toc24958"/>
      <w:bookmarkStart w:id="8" w:name="_Toc20824"/>
    </w:p>
    <w:p>
      <w:pPr>
        <w:pStyle w:val="3"/>
        <w:jc w:val="left"/>
        <w:rPr>
          <w:rFonts w:hint="eastAsia"/>
          <w:b/>
          <w:highlight w:val="none"/>
        </w:rPr>
      </w:pPr>
      <w:r>
        <w:rPr>
          <w:rFonts w:hint="eastAsia"/>
          <w:b/>
          <w:highlight w:val="none"/>
        </w:rPr>
        <w:t>二、</w:t>
      </w:r>
      <w:bookmarkEnd w:id="7"/>
      <w:bookmarkEnd w:id="8"/>
      <w:r>
        <w:rPr>
          <w:rFonts w:hint="eastAsia"/>
          <w:b/>
          <w:highlight w:val="none"/>
        </w:rPr>
        <w:t>企业环境信息依法披露系统操作手册</w:t>
      </w:r>
    </w:p>
    <w:p>
      <w:pPr>
        <w:pStyle w:val="4"/>
        <w:numPr>
          <w:ilvl w:val="0"/>
          <w:numId w:val="2"/>
        </w:numPr>
        <w:rPr>
          <w:rFonts w:hint="eastAsia"/>
          <w:highlight w:val="none"/>
        </w:rPr>
      </w:pPr>
      <w:bookmarkStart w:id="9" w:name="_Toc23423"/>
      <w:bookmarkStart w:id="10" w:name="_Toc143088089"/>
      <w:bookmarkStart w:id="11" w:name="_Toc26335"/>
      <w:r>
        <w:rPr>
          <w:rFonts w:hint="eastAsia"/>
          <w:highlight w:val="none"/>
        </w:rPr>
        <w:t>账号注册</w:t>
      </w:r>
      <w:bookmarkEnd w:id="9"/>
      <w:bookmarkEnd w:id="10"/>
      <w:bookmarkEnd w:id="11"/>
    </w:p>
    <w:tbl>
      <w:tblPr>
        <w:tblStyle w:val="1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ind w:firstLine="640" w:firstLineChars="200"/>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32"/>
                <w:szCs w:val="32"/>
                <w:highlight w:val="none"/>
              </w:rPr>
              <w:t>1.1</w:t>
            </w:r>
            <w:r>
              <w:rPr>
                <w:rFonts w:hint="eastAsia" w:ascii="仿宋_GB2312" w:hAnsi="仿宋_GB2312" w:eastAsia="仿宋_GB2312" w:cs="仿宋_GB2312"/>
                <w:kern w:val="0"/>
                <w:sz w:val="28"/>
                <w:szCs w:val="28"/>
                <w:highlight w:val="none"/>
              </w:rPr>
              <w:t>登录广东政务服务网，点击右上角“登录”进行注册。</w:t>
            </w:r>
          </w:p>
          <w:p>
            <w:pPr>
              <w:ind w:firstLine="560" w:firstLineChars="200"/>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网址：</w:t>
            </w:r>
            <w:r>
              <w:rPr>
                <w:rFonts w:ascii="仿宋_GB2312" w:hAnsi="仿宋_GB2312" w:eastAsia="仿宋_GB2312" w:cs="仿宋_GB2312"/>
                <w:kern w:val="0"/>
                <w:sz w:val="28"/>
                <w:szCs w:val="28"/>
                <w:highlight w:val="none"/>
              </w:rPr>
              <w:t>https://www.gdzwfw.gov.cn</w:t>
            </w:r>
            <w:r>
              <w:rPr>
                <w:rFonts w:hint="eastAsia" w:ascii="仿宋_GB2312" w:hAnsi="仿宋_GB2312" w:eastAsia="仿宋_GB2312" w:cs="仿宋_GB2312"/>
                <w:kern w:val="0"/>
                <w:sz w:val="28"/>
                <w:szCs w:val="28"/>
                <w:highlight w:val="none"/>
              </w:rPr>
              <w:t>/</w:t>
            </w:r>
          </w:p>
          <w:p>
            <w:pPr>
              <w:ind w:firstLine="562" w:firstLineChars="200"/>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b/>
                <w:bCs/>
                <w:color w:val="FF0000"/>
                <w:kern w:val="0"/>
                <w:sz w:val="28"/>
                <w:szCs w:val="28"/>
                <w:highlight w:val="none"/>
              </w:rPr>
              <w:t>已有账号的企业可跳转至本文“2.系统登录”部分进行登录填报。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8" w:hRule="atLeast"/>
        </w:trPr>
        <w:tc>
          <w:tcPr>
            <w:tcW w:w="9065" w:type="dxa"/>
          </w:tcPr>
          <w:p>
            <w:pPr>
              <w:spacing w:line="20" w:lineRule="atLeast"/>
              <w:jc w:val="left"/>
              <w:rPr>
                <w:rFonts w:hint="eastAsia" w:ascii="仿宋_GB2312" w:hAnsi="仿宋_GB2312" w:eastAsia="仿宋_GB2312" w:cs="仿宋_GB2312"/>
                <w:kern w:val="0"/>
                <w:sz w:val="32"/>
                <w:szCs w:val="32"/>
                <w:highlight w:val="none"/>
              </w:rPr>
            </w:pPr>
            <w:r>
              <w:rPr>
                <w:rFonts w:ascii="仿宋_GB2312" w:hAnsi="仿宋_GB2312" w:eastAsia="仿宋_GB2312" w:cs="仿宋_GB2312"/>
                <w:kern w:val="0"/>
                <w:sz w:val="32"/>
                <w:szCs w:val="32"/>
                <w:highlight w:val="none"/>
              </w:rPr>
              <w:drawing>
                <wp:inline distT="0" distB="0" distL="114300" distR="114300">
                  <wp:extent cx="5469255" cy="2202180"/>
                  <wp:effectExtent l="0" t="0" r="17145" b="7620"/>
                  <wp:docPr id="180685966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06859664" name="图片 1"/>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5469255" cy="22021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ind w:firstLine="560" w:firstLineChars="200"/>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1.2在弹出的页面上选择“法人登录”→“账号密码”。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jc w:val="left"/>
              <w:rPr>
                <w:rFonts w:hint="eastAsia" w:ascii="仿宋_GB2312" w:hAnsi="仿宋_GB2312" w:eastAsia="仿宋_GB2312" w:cs="仿宋_GB2312"/>
                <w:kern w:val="0"/>
                <w:sz w:val="28"/>
                <w:szCs w:val="28"/>
                <w:highlight w:val="none"/>
              </w:rPr>
            </w:pPr>
            <w:r>
              <w:rPr>
                <w:rFonts w:ascii="仿宋_GB2312" w:hAnsi="仿宋_GB2312" w:eastAsia="仿宋_GB2312" w:cs="仿宋_GB2312"/>
                <w:kern w:val="0"/>
                <w:sz w:val="28"/>
                <w:szCs w:val="28"/>
                <w:highlight w:val="none"/>
              </w:rPr>
              <w:drawing>
                <wp:inline distT="0" distB="0" distL="114300" distR="114300">
                  <wp:extent cx="4085590" cy="2527935"/>
                  <wp:effectExtent l="0" t="0" r="10160" b="5715"/>
                  <wp:docPr id="177123380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71233800" name="图片 1"/>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4085590" cy="2527935"/>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ind w:firstLine="560" w:firstLineChars="200"/>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1</w:t>
            </w:r>
            <w:r>
              <w:rPr>
                <w:rFonts w:ascii="仿宋_GB2312" w:hAnsi="仿宋_GB2312" w:eastAsia="仿宋_GB2312" w:cs="仿宋_GB2312"/>
                <w:kern w:val="0"/>
                <w:sz w:val="28"/>
                <w:szCs w:val="28"/>
                <w:highlight w:val="none"/>
              </w:rPr>
              <w:t>.3点击“立即注册”。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jc w:val="left"/>
              <w:rPr>
                <w:rFonts w:hint="eastAsia" w:ascii="仿宋_GB2312" w:hAnsi="仿宋_GB2312" w:eastAsia="仿宋_GB2312" w:cs="仿宋_GB2312"/>
                <w:kern w:val="0"/>
                <w:sz w:val="32"/>
                <w:szCs w:val="32"/>
                <w:highlight w:val="none"/>
              </w:rPr>
            </w:pPr>
            <w:r>
              <w:rPr>
                <w:rFonts w:ascii="仿宋_GB2312" w:hAnsi="仿宋_GB2312" w:eastAsia="仿宋_GB2312" w:cs="仿宋_GB2312"/>
                <w:kern w:val="0"/>
                <w:sz w:val="28"/>
                <w:szCs w:val="28"/>
                <w:highlight w:val="none"/>
              </w:rPr>
              <w:drawing>
                <wp:inline distT="0" distB="0" distL="114300" distR="114300">
                  <wp:extent cx="5017135" cy="2913380"/>
                  <wp:effectExtent l="0" t="0" r="12065" b="1270"/>
                  <wp:docPr id="147472597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4725973" name="图片 1"/>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5017135" cy="2913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ind w:firstLine="560" w:firstLineChars="200"/>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1.4根据页面内容，填写基本信息。申请人指该法人账户的当前操作人，后续可通过账户信息管理页面变更。</w:t>
            </w:r>
            <w:r>
              <w:rPr>
                <w:rFonts w:hint="eastAsia" w:ascii="仿宋_GB2312" w:hAnsi="仿宋_GB2312" w:eastAsia="仿宋_GB2312" w:cs="仿宋_GB2312"/>
                <w:b/>
                <w:bCs/>
                <w:color w:val="FF0000"/>
                <w:kern w:val="0"/>
                <w:sz w:val="28"/>
                <w:szCs w:val="28"/>
                <w:highlight w:val="none"/>
              </w:rPr>
              <w:t>申请人可以不是法定代表人，由正在操作的人员扫码验证即可。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jc w:val="left"/>
              <w:rPr>
                <w:rFonts w:hint="eastAsia" w:ascii="仿宋_GB2312" w:hAnsi="仿宋_GB2312" w:eastAsia="仿宋_GB2312" w:cs="仿宋_GB2312"/>
                <w:kern w:val="0"/>
                <w:sz w:val="28"/>
                <w:szCs w:val="28"/>
                <w:highlight w:val="none"/>
              </w:rPr>
            </w:pPr>
            <w:r>
              <w:rPr>
                <w:rFonts w:ascii="仿宋_GB2312" w:hAnsi="仿宋_GB2312" w:eastAsia="仿宋_GB2312" w:cs="仿宋_GB2312"/>
                <w:kern w:val="0"/>
                <w:sz w:val="28"/>
                <w:szCs w:val="28"/>
                <w:highlight w:val="none"/>
              </w:rPr>
              <w:drawing>
                <wp:inline distT="0" distB="0" distL="114300" distR="114300">
                  <wp:extent cx="5631815" cy="3122295"/>
                  <wp:effectExtent l="0" t="0" r="6985" b="190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12">
                            <a:extLst>
                              <a:ext uri="{28A0092B-C50C-407E-A947-70E740481C1C}">
                                <a14:useLocalDpi xmlns:a14="http://schemas.microsoft.com/office/drawing/2010/main" val="false"/>
                              </a:ext>
                            </a:extLst>
                          </a:blip>
                          <a:srcRect b="49631"/>
                          <a:stretch>
                            <a:fillRect/>
                          </a:stretch>
                        </pic:blipFill>
                        <pic:spPr>
                          <a:xfrm>
                            <a:off x="0" y="0"/>
                            <a:ext cx="5631815" cy="31222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jc w:val="left"/>
              <w:rPr>
                <w:rFonts w:hint="eastAsia" w:ascii="仿宋_GB2312" w:hAnsi="仿宋_GB2312" w:eastAsia="仿宋_GB2312" w:cs="仿宋_GB2312"/>
                <w:kern w:val="0"/>
                <w:sz w:val="28"/>
                <w:szCs w:val="28"/>
                <w:highlight w:val="none"/>
              </w:rPr>
            </w:pPr>
          </w:p>
          <w:p>
            <w:pPr>
              <w:jc w:val="left"/>
              <w:rPr>
                <w:rFonts w:hint="eastAsia"/>
                <w:highlight w:val="none"/>
              </w:rPr>
            </w:pPr>
            <w:r>
              <w:rPr>
                <w:rFonts w:ascii="仿宋_GB2312" w:hAnsi="仿宋_GB2312" w:eastAsia="仿宋_GB2312" w:cs="仿宋_GB2312"/>
                <w:kern w:val="0"/>
                <w:sz w:val="28"/>
                <w:szCs w:val="28"/>
                <w:highlight w:val="none"/>
              </w:rPr>
              <w:drawing>
                <wp:inline distT="0" distB="0" distL="114300" distR="114300">
                  <wp:extent cx="5593715" cy="3585210"/>
                  <wp:effectExtent l="0" t="0" r="6985" b="15240"/>
                  <wp:docPr id="77032234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0322347" name="图片 1"/>
                          <pic:cNvPicPr>
                            <a:picLocks noChangeAspect="true"/>
                          </pic:cNvPicPr>
                        </pic:nvPicPr>
                        <pic:blipFill>
                          <a:blip r:embed="rId12">
                            <a:extLst>
                              <a:ext uri="{28A0092B-C50C-407E-A947-70E740481C1C}">
                                <a14:useLocalDpi xmlns:a14="http://schemas.microsoft.com/office/drawing/2010/main" val="false"/>
                              </a:ext>
                            </a:extLst>
                          </a:blip>
                          <a:srcRect t="51402" r="16565"/>
                          <a:stretch>
                            <a:fillRect/>
                          </a:stretch>
                        </pic:blipFill>
                        <pic:spPr>
                          <a:xfrm>
                            <a:off x="0" y="0"/>
                            <a:ext cx="5593715" cy="35852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ind w:firstLine="56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28"/>
                <w:szCs w:val="28"/>
                <w:highlight w:val="none"/>
              </w:rPr>
              <w:t>1.5注册完成后回到广东政务服务网登录页面选择“法人登录”登入账号。登录后点击右上角公司名称→账户管理→实名核验查看账户等级。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jc w:val="left"/>
              <w:rPr>
                <w:rFonts w:hint="eastAsia" w:ascii="仿宋_GB2312" w:hAnsi="仿宋_GB2312" w:eastAsia="仿宋_GB2312" w:cs="仿宋_GB2312"/>
                <w:kern w:val="0"/>
                <w:sz w:val="28"/>
                <w:szCs w:val="28"/>
                <w:highlight w:val="none"/>
              </w:rPr>
            </w:pPr>
            <w:r>
              <w:rPr>
                <w:sz w:val="20"/>
                <w:szCs w:val="21"/>
                <w:highlight w:val="none"/>
              </w:rPr>
              <w:drawing>
                <wp:inline distT="0" distB="0" distL="114300" distR="114300">
                  <wp:extent cx="5848985" cy="2783840"/>
                  <wp:effectExtent l="0" t="0" r="18415" b="16510"/>
                  <wp:docPr id="119288008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2880086" name="图片 1"/>
                          <pic:cNvPicPr>
                            <a:picLocks noChangeAspect="true"/>
                          </pic:cNvPicPr>
                        </pic:nvPicPr>
                        <pic:blipFill>
                          <a:blip r:embed="rId13" cstate="print">
                            <a:extLst>
                              <a:ext uri="{28A0092B-C50C-407E-A947-70E740481C1C}">
                                <a14:useLocalDpi xmlns:a14="http://schemas.microsoft.com/office/drawing/2010/main" val="false"/>
                              </a:ext>
                            </a:extLst>
                          </a:blip>
                          <a:stretch>
                            <a:fillRect/>
                          </a:stretch>
                        </pic:blipFill>
                        <pic:spPr>
                          <a:xfrm>
                            <a:off x="0" y="0"/>
                            <a:ext cx="5848985" cy="2783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ind w:firstLine="560" w:firstLineChars="200"/>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1.6点击“实名核验”查看账户等级。</w:t>
            </w:r>
            <w:r>
              <w:rPr>
                <w:rFonts w:hint="eastAsia" w:ascii="仿宋_GB2312" w:hAnsi="仿宋_GB2312" w:eastAsia="仿宋_GB2312" w:cs="仿宋_GB2312"/>
                <w:b/>
                <w:bCs/>
                <w:color w:val="FF0000"/>
                <w:kern w:val="0"/>
                <w:sz w:val="28"/>
                <w:szCs w:val="28"/>
                <w:highlight w:val="none"/>
              </w:rPr>
              <w:t>如账户是四级（原L2）或五级（原L3），则跳转至本文“2.系统登录”部分进入系统填报。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drawing>
                <wp:inline distT="0" distB="0" distL="114300" distR="114300">
                  <wp:extent cx="5785485" cy="4264025"/>
                  <wp:effectExtent l="0" t="0" r="5715" b="3175"/>
                  <wp:docPr id="14" name="图片 14" descr="8ab53384623b1637597ee1300fab33c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8ab53384623b1637597ee1300fab33c0"/>
                          <pic:cNvPicPr>
                            <a:picLocks noChangeAspect="true"/>
                          </pic:cNvPicPr>
                        </pic:nvPicPr>
                        <pic:blipFill>
                          <a:blip r:embed="rId14"/>
                          <a:stretch>
                            <a:fillRect/>
                          </a:stretch>
                        </pic:blipFill>
                        <pic:spPr>
                          <a:xfrm>
                            <a:off x="0" y="0"/>
                            <a:ext cx="5785485" cy="4264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ind w:firstLine="560" w:firstLineChars="200"/>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1.7</w:t>
            </w:r>
            <w:r>
              <w:rPr>
                <w:rFonts w:hint="eastAsia" w:ascii="仿宋_GB2312" w:hAnsi="仿宋_GB2312" w:eastAsia="仿宋_GB2312" w:cs="仿宋_GB2312"/>
                <w:b/>
                <w:bCs/>
                <w:color w:val="FF0000"/>
                <w:kern w:val="0"/>
                <w:sz w:val="28"/>
                <w:szCs w:val="28"/>
                <w:highlight w:val="none"/>
              </w:rPr>
              <w:t>如显示账户为三级（原L1），则按照页面提示利用网银、电子营业执照、CA证书进行核验升级，或者去行政服务大厅线下预约办理升级业务</w:t>
            </w:r>
            <w:r>
              <w:rPr>
                <w:rFonts w:hint="eastAsia" w:ascii="仿宋_GB2312" w:hAnsi="仿宋_GB2312" w:eastAsia="仿宋_GB2312" w:cs="仿宋_GB2312"/>
                <w:kern w:val="0"/>
                <w:sz w:val="28"/>
                <w:szCs w:val="28"/>
                <w:highlight w:val="none"/>
              </w:rPr>
              <w:t>（具体核验升级的操作，请点击页面中每一项对应的“用户帮助”按钮，均有详细的操作指引）。账户升级到四级或五级后，即可正常登录，参考本文“2.系统登录”部分操作。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jc w:val="left"/>
              <w:rPr>
                <w:rFonts w:hint="eastAsia"/>
                <w:highlight w:val="none"/>
              </w:rPr>
            </w:pPr>
          </w:p>
          <w:p>
            <w:pPr>
              <w:jc w:val="left"/>
              <w:rPr>
                <w:rFonts w:hint="eastAsia"/>
                <w:highlight w:val="none"/>
              </w:rPr>
            </w:pPr>
            <w:r>
              <w:rPr>
                <w:highlight w:val="none"/>
              </w:rPr>
              <w:drawing>
                <wp:inline distT="0" distB="0" distL="114300" distR="114300">
                  <wp:extent cx="5704840" cy="3460750"/>
                  <wp:effectExtent l="0" t="0" r="0" b="0"/>
                  <wp:docPr id="1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true"/>
                          </pic:cNvPicPr>
                        </pic:nvPicPr>
                        <pic:blipFill>
                          <a:blip r:embed="rId15">
                            <a:extLst>
                              <a:ext uri="{28A0092B-C50C-407E-A947-70E740481C1C}">
                                <a14:useLocalDpi xmlns:a14="http://schemas.microsoft.com/office/drawing/2010/main" val="false"/>
                              </a:ext>
                            </a:extLst>
                          </a:blip>
                          <a:srcRect b="20310"/>
                          <a:stretch>
                            <a:fillRect/>
                          </a:stretch>
                        </pic:blipFill>
                        <pic:spPr>
                          <a:xfrm>
                            <a:off x="0" y="0"/>
                            <a:ext cx="5704840" cy="3460750"/>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ind w:firstLine="560" w:firstLineChars="200"/>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1.8账号注册及升级完成后，可以在“我的经办人”选项中点击“添加经办人”,经办人的个人账号也必须至少是四级。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drawing>
                <wp:inline distT="0" distB="0" distL="114300" distR="114300">
                  <wp:extent cx="5684520" cy="2921000"/>
                  <wp:effectExtent l="0" t="0" r="11430" b="12700"/>
                  <wp:docPr id="2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true"/>
                          </pic:cNvPicPr>
                        </pic:nvPicPr>
                        <pic:blipFill>
                          <a:blip r:embed="rId16" cstate="print">
                            <a:extLst>
                              <a:ext uri="{28A0092B-C50C-407E-A947-70E740481C1C}">
                                <a14:useLocalDpi xmlns:a14="http://schemas.microsoft.com/office/drawing/2010/main" val="false"/>
                              </a:ext>
                            </a:extLst>
                          </a:blip>
                          <a:stretch>
                            <a:fillRect/>
                          </a:stretch>
                        </pic:blipFill>
                        <pic:spPr>
                          <a:xfrm>
                            <a:off x="0" y="0"/>
                            <a:ext cx="5684520" cy="2921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5" w:type="dxa"/>
          </w:tcPr>
          <w:p>
            <w:pPr>
              <w:ind w:firstLine="560" w:firstLineChars="200"/>
              <w:jc w:val="left"/>
              <w:rPr>
                <w:rFonts w:hint="eastAsia" w:ascii="仿宋_GB2312" w:hAnsi="仿宋_GB2312" w:eastAsia="仿宋_GB2312" w:cs="仿宋_GB2312"/>
                <w:kern w:val="0"/>
                <w:sz w:val="28"/>
                <w:szCs w:val="28"/>
                <w:highlight w:val="none"/>
              </w:rPr>
            </w:pPr>
          </w:p>
          <w:p>
            <w:pPr>
              <w:ind w:firstLine="56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28"/>
                <w:szCs w:val="28"/>
                <w:highlight w:val="none"/>
              </w:rPr>
              <w:t>1.9公司申请添加经办人之后，还需要登录被添加经办人的个人账号，同意公司的添加申请，即可成功添加经办人。添加经办人可以使登录操作更简便，无需再让法定代表人扫码或使用公司的账号密码登录平台。若未添加经办人账号只能通过法人登录进行公司业务填报。</w:t>
            </w:r>
            <w:r>
              <w:rPr>
                <w:highlight w:val="none"/>
              </w:rPr>
              <w:drawing>
                <wp:inline distT="0" distB="0" distL="114300" distR="114300">
                  <wp:extent cx="5689600" cy="3523615"/>
                  <wp:effectExtent l="0" t="0" r="6350" b="635"/>
                  <wp:docPr id="2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true"/>
                          </pic:cNvPicPr>
                        </pic:nvPicPr>
                        <pic:blipFill>
                          <a:blip r:embed="rId17" cstate="print">
                            <a:extLst>
                              <a:ext uri="{28A0092B-C50C-407E-A947-70E740481C1C}">
                                <a14:useLocalDpi xmlns:a14="http://schemas.microsoft.com/office/drawing/2010/main" val="false"/>
                              </a:ext>
                            </a:extLst>
                          </a:blip>
                          <a:stretch>
                            <a:fillRect/>
                          </a:stretch>
                        </pic:blipFill>
                        <pic:spPr>
                          <a:xfrm>
                            <a:off x="0" y="0"/>
                            <a:ext cx="5689600" cy="3523615"/>
                          </a:xfrm>
                          <a:prstGeom prst="rect">
                            <a:avLst/>
                          </a:prstGeom>
                        </pic:spPr>
                      </pic:pic>
                    </a:graphicData>
                  </a:graphic>
                </wp:inline>
              </w:drawing>
            </w:r>
          </w:p>
        </w:tc>
      </w:tr>
    </w:tbl>
    <w:p>
      <w:pPr>
        <w:rPr>
          <w:rFonts w:hint="eastAsia"/>
          <w:highlight w:val="none"/>
        </w:rPr>
      </w:pPr>
    </w:p>
    <w:p>
      <w:pPr>
        <w:rPr>
          <w:rFonts w:hint="eastAsia"/>
          <w:highlight w:val="none"/>
        </w:rPr>
      </w:pPr>
      <w:r>
        <w:rPr>
          <w:rFonts w:hint="eastAsia"/>
          <w:highlight w:val="none"/>
        </w:rPr>
        <w:br w:type="page"/>
      </w:r>
    </w:p>
    <w:p>
      <w:pPr>
        <w:pStyle w:val="4"/>
        <w:rPr>
          <w:rFonts w:hint="eastAsia"/>
          <w:highlight w:val="none"/>
        </w:rPr>
      </w:pPr>
      <w:bookmarkStart w:id="12" w:name="_Toc23727"/>
      <w:bookmarkStart w:id="13" w:name="_Toc4319"/>
      <w:r>
        <w:rPr>
          <w:rFonts w:hint="eastAsia"/>
          <w:highlight w:val="none"/>
        </w:rPr>
        <w:t>2.</w:t>
      </w:r>
      <w:r>
        <w:rPr>
          <w:rFonts w:hint="eastAsia" w:eastAsia="仿宋_GB2312"/>
          <w:szCs w:val="32"/>
          <w:highlight w:val="none"/>
        </w:rPr>
        <w:t>系统登录</w:t>
      </w:r>
      <w:bookmarkEnd w:id="12"/>
      <w:bookmarkEnd w:id="13"/>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14" w:type="dxa"/>
            <w:tcBorders>
              <w:tl2br w:val="nil"/>
              <w:tr2bl w:val="nil"/>
            </w:tcBorders>
          </w:tcPr>
          <w:p>
            <w:pPr>
              <w:ind w:firstLine="560" w:firstLineChars="200"/>
              <w:jc w:val="left"/>
              <w:rPr>
                <w:rFonts w:hint="eastAsia" w:ascii="仿宋_GB2312" w:hAnsi="仿宋_GB2312" w:eastAsia="仿宋_GB2312" w:cs="仿宋_GB2312"/>
                <w:kern w:val="0"/>
                <w:sz w:val="28"/>
                <w:szCs w:val="28"/>
                <w:highlight w:val="none"/>
              </w:rPr>
            </w:pPr>
            <w:r>
              <w:rPr>
                <w:rFonts w:ascii="仿宋_GB2312" w:hAnsi="仿宋_GB2312" w:eastAsia="仿宋_GB2312" w:cs="仿宋_GB2312"/>
                <w:kern w:val="0"/>
                <w:sz w:val="28"/>
                <w:szCs w:val="28"/>
                <w:highlight w:val="none"/>
                <w:lang w:val="en"/>
              </w:rPr>
              <w:t>2</w:t>
            </w:r>
            <w:r>
              <w:rPr>
                <w:rFonts w:hint="eastAsia" w:ascii="仿宋_GB2312" w:hAnsi="仿宋_GB2312" w:eastAsia="仿宋_GB2312" w:cs="仿宋_GB2312"/>
                <w:kern w:val="0"/>
                <w:sz w:val="28"/>
                <w:szCs w:val="28"/>
                <w:highlight w:val="none"/>
              </w:rPr>
              <w:t>.1进入广东省生态环境厅企业环境信息依法披露系统，点击“信息填报”→点击“前往广东省统一身份认证平台”进行登录。</w:t>
            </w:r>
          </w:p>
          <w:p>
            <w:pPr>
              <w:ind w:firstLine="560" w:firstLineChars="200"/>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网址：</w:t>
            </w:r>
            <w:r>
              <w:rPr>
                <w:rFonts w:hint="eastAsia" w:ascii="微软雅黑" w:hAnsi="微软雅黑" w:eastAsia="微软雅黑" w:cs="微软雅黑"/>
                <w:kern w:val="0"/>
                <w:sz w:val="24"/>
                <w:szCs w:val="24"/>
                <w:highlight w:val="none"/>
              </w:rPr>
              <w:t>https://www-app.gdeei.cn/gdeepub/front/dal/dal/newindex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14" w:type="dxa"/>
            <w:tcBorders>
              <w:tl2br w:val="nil"/>
              <w:tr2bl w:val="nil"/>
            </w:tcBorders>
            <w:vAlign w:val="center"/>
          </w:tcPr>
          <w:p>
            <w:pPr>
              <w:jc w:val="center"/>
              <w:rPr>
                <w:rFonts w:hint="eastAsia" w:ascii="仿宋_GB2312" w:hAnsi="仿宋_GB2312" w:eastAsia="仿宋_GB2312" w:cs="仿宋_GB2312"/>
                <w:kern w:val="0"/>
                <w:sz w:val="28"/>
                <w:szCs w:val="28"/>
                <w:highlight w:val="none"/>
              </w:rPr>
            </w:pPr>
            <w:r>
              <w:rPr>
                <w:rFonts w:ascii="仿宋_GB2312" w:hAnsi="仿宋_GB2312" w:eastAsia="仿宋_GB2312" w:cs="仿宋_GB2312"/>
                <w:kern w:val="0"/>
                <w:sz w:val="28"/>
                <w:szCs w:val="28"/>
                <w:highlight w:val="none"/>
              </w:rPr>
              <w:drawing>
                <wp:inline distT="0" distB="0" distL="114300" distR="114300">
                  <wp:extent cx="4382770" cy="2960370"/>
                  <wp:effectExtent l="0" t="0" r="17780" b="11430"/>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18" cstate="print">
                            <a:extLst>
                              <a:ext uri="{28A0092B-C50C-407E-A947-70E740481C1C}">
                                <a14:useLocalDpi xmlns:a14="http://schemas.microsoft.com/office/drawing/2010/main" val="false"/>
                              </a:ext>
                            </a:extLst>
                          </a:blip>
                          <a:srcRect b="17837"/>
                          <a:stretch>
                            <a:fillRect/>
                          </a:stretch>
                        </pic:blipFill>
                        <pic:spPr>
                          <a:xfrm>
                            <a:off x="0" y="0"/>
                            <a:ext cx="4382770" cy="2960370"/>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14" w:type="dxa"/>
            <w:tcBorders>
              <w:tl2br w:val="nil"/>
              <w:tr2bl w:val="nil"/>
            </w:tcBorders>
            <w:vAlign w:val="center"/>
          </w:tcPr>
          <w:p>
            <w:pPr>
              <w:jc w:val="center"/>
              <w:rPr>
                <w:rFonts w:hint="eastAsia" w:ascii="仿宋_GB2312" w:hAnsi="仿宋_GB2312" w:eastAsia="仿宋_GB2312" w:cs="仿宋_GB2312"/>
                <w:kern w:val="0"/>
                <w:sz w:val="28"/>
                <w:szCs w:val="28"/>
                <w:highlight w:val="none"/>
              </w:rPr>
            </w:pPr>
            <w:r>
              <w:rPr>
                <w:rFonts w:ascii="仿宋_GB2312" w:hAnsi="仿宋_GB2312" w:eastAsia="仿宋_GB2312" w:cs="仿宋_GB2312"/>
                <w:kern w:val="0"/>
                <w:sz w:val="28"/>
                <w:szCs w:val="28"/>
                <w:highlight w:val="none"/>
              </w:rPr>
              <w:drawing>
                <wp:inline distT="0" distB="0" distL="114300" distR="114300">
                  <wp:extent cx="4321810" cy="2962275"/>
                  <wp:effectExtent l="9525" t="9525" r="12065" b="1905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19" cstate="print">
                            <a:extLst>
                              <a:ext uri="{28A0092B-C50C-407E-A947-70E740481C1C}">
                                <a14:useLocalDpi xmlns:a14="http://schemas.microsoft.com/office/drawing/2010/main" val="false"/>
                              </a:ext>
                            </a:extLst>
                          </a:blip>
                          <a:stretch>
                            <a:fillRect/>
                          </a:stretch>
                        </pic:blipFill>
                        <pic:spPr>
                          <a:xfrm>
                            <a:off x="0" y="0"/>
                            <a:ext cx="4321810" cy="2962275"/>
                          </a:xfrm>
                          <a:prstGeom prst="rect">
                            <a:avLst/>
                          </a:prstGeom>
                          <a:ln>
                            <a:solidFill>
                              <a:schemeClr val="tx1"/>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9014" w:type="dxa"/>
            <w:tcBorders>
              <w:tl2br w:val="nil"/>
              <w:tr2bl w:val="nil"/>
            </w:tcBorders>
          </w:tcPr>
          <w:p>
            <w:pPr>
              <w:ind w:firstLine="560" w:firstLineChars="200"/>
              <w:jc w:val="left"/>
              <w:rPr>
                <w:rFonts w:hint="eastAsia" w:ascii="仿宋_GB2312" w:hAnsi="仿宋_GB2312" w:eastAsia="仿宋_GB2312" w:cs="仿宋_GB2312"/>
                <w:kern w:val="0"/>
                <w:sz w:val="28"/>
                <w:szCs w:val="28"/>
                <w:highlight w:val="none"/>
              </w:rPr>
            </w:pPr>
            <w:r>
              <w:rPr>
                <w:rFonts w:ascii="仿宋_GB2312" w:hAnsi="仿宋_GB2312" w:eastAsia="仿宋_GB2312" w:cs="仿宋_GB2312"/>
                <w:kern w:val="0"/>
                <w:sz w:val="28"/>
                <w:szCs w:val="28"/>
                <w:highlight w:val="none"/>
                <w:lang w:val="en"/>
              </w:rPr>
              <w:t>2</w:t>
            </w:r>
            <w:r>
              <w:rPr>
                <w:rFonts w:hint="eastAsia" w:ascii="仿宋_GB2312" w:hAnsi="仿宋_GB2312" w:eastAsia="仿宋_GB2312" w:cs="仿宋_GB2312"/>
                <w:kern w:val="0"/>
                <w:sz w:val="28"/>
                <w:szCs w:val="28"/>
                <w:highlight w:val="none"/>
              </w:rPr>
              <w:t>.2如已添加经办人，则直接在“个人登录”选项下，微信扫码或账号密码登录。如未添加经办人，则选择“法人登录”选项，由法定代表人扫码或用公司的账号密码、网银、CA证书登录平台。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14" w:type="dxa"/>
            <w:tcBorders>
              <w:tl2br w:val="nil"/>
              <w:tr2bl w:val="nil"/>
            </w:tcBorders>
            <w:vAlign w:val="center"/>
          </w:tcPr>
          <w:p>
            <w:pPr>
              <w:jc w:val="center"/>
              <w:rPr>
                <w:rFonts w:hint="eastAsia" w:ascii="仿宋_GB2312" w:hAnsi="仿宋_GB2312" w:eastAsia="仿宋_GB2312" w:cs="仿宋_GB2312"/>
                <w:kern w:val="0"/>
                <w:sz w:val="28"/>
                <w:szCs w:val="28"/>
                <w:highlight w:val="none"/>
              </w:rPr>
            </w:pPr>
            <w:r>
              <w:rPr>
                <w:highlight w:val="none"/>
              </w:rPr>
              <w:drawing>
                <wp:inline distT="0" distB="0" distL="114300" distR="114300">
                  <wp:extent cx="2769870" cy="3027045"/>
                  <wp:effectExtent l="0" t="0" r="11430" b="1905"/>
                  <wp:docPr id="37577657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5776574" name="图片 1"/>
                          <pic:cNvPicPr>
                            <a:picLocks noChangeAspect="true"/>
                          </pic:cNvPicPr>
                        </pic:nvPicPr>
                        <pic:blipFill>
                          <a:blip r:embed="rId20" cstate="print">
                            <a:extLst>
                              <a:ext uri="{28A0092B-C50C-407E-A947-70E740481C1C}">
                                <a14:useLocalDpi xmlns:a14="http://schemas.microsoft.com/office/drawing/2010/main" val="false"/>
                              </a:ext>
                            </a:extLst>
                          </a:blip>
                          <a:stretch>
                            <a:fillRect/>
                          </a:stretch>
                        </pic:blipFill>
                        <pic:spPr>
                          <a:xfrm>
                            <a:off x="0" y="0"/>
                            <a:ext cx="2769870" cy="30270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14" w:type="dxa"/>
            <w:tcBorders>
              <w:tl2br w:val="nil"/>
              <w:tr2bl w:val="nil"/>
            </w:tcBorders>
            <w:vAlign w:val="center"/>
          </w:tcPr>
          <w:p>
            <w:pPr>
              <w:jc w:val="center"/>
              <w:rPr>
                <w:rFonts w:hint="eastAsia" w:ascii="仿宋_GB2312" w:hAnsi="仿宋_GB2312" w:eastAsia="仿宋_GB2312" w:cs="仿宋_GB2312"/>
                <w:kern w:val="0"/>
                <w:sz w:val="28"/>
                <w:szCs w:val="28"/>
                <w:highlight w:val="none"/>
              </w:rPr>
            </w:pPr>
            <w:r>
              <w:rPr>
                <w:highlight w:val="none"/>
              </w:rPr>
              <w:drawing>
                <wp:inline distT="0" distB="0" distL="114300" distR="114300">
                  <wp:extent cx="2781300" cy="3056255"/>
                  <wp:effectExtent l="0" t="0" r="0" b="10795"/>
                  <wp:docPr id="92181370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1813706" name="图片 1"/>
                          <pic:cNvPicPr>
                            <a:picLocks noChangeAspect="true"/>
                          </pic:cNvPicPr>
                        </pic:nvPicPr>
                        <pic:blipFill>
                          <a:blip r:embed="rId21" cstate="print">
                            <a:extLst>
                              <a:ext uri="{28A0092B-C50C-407E-A947-70E740481C1C}">
                                <a14:useLocalDpi xmlns:a14="http://schemas.microsoft.com/office/drawing/2010/main" val="false"/>
                              </a:ext>
                            </a:extLst>
                          </a:blip>
                          <a:stretch>
                            <a:fillRect/>
                          </a:stretch>
                        </pic:blipFill>
                        <pic:spPr>
                          <a:xfrm>
                            <a:off x="0" y="0"/>
                            <a:ext cx="2781300" cy="3056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14" w:type="dxa"/>
            <w:tcBorders>
              <w:tl2br w:val="nil"/>
              <w:tr2bl w:val="nil"/>
            </w:tcBorders>
          </w:tcPr>
          <w:p>
            <w:pPr>
              <w:ind w:firstLine="560" w:firstLineChars="200"/>
              <w:jc w:val="left"/>
              <w:rPr>
                <w:rFonts w:hint="eastAsia" w:ascii="黑体" w:hAnsi="黑体"/>
                <w:highlight w:val="none"/>
              </w:rPr>
            </w:pPr>
            <w:r>
              <w:rPr>
                <w:rFonts w:ascii="仿宋_GB2312" w:hAnsi="仿宋_GB2312" w:eastAsia="仿宋_GB2312" w:cs="仿宋_GB2312"/>
                <w:kern w:val="0"/>
                <w:sz w:val="28"/>
                <w:szCs w:val="28"/>
                <w:highlight w:val="none"/>
                <w:lang w:val="en"/>
              </w:rPr>
              <w:t>2</w:t>
            </w:r>
            <w:r>
              <w:rPr>
                <w:rFonts w:hint="eastAsia" w:ascii="仿宋_GB2312" w:hAnsi="仿宋_GB2312" w:eastAsia="仿宋_GB2312" w:cs="仿宋_GB2312"/>
                <w:kern w:val="0"/>
                <w:sz w:val="28"/>
                <w:szCs w:val="28"/>
                <w:highlight w:val="none"/>
              </w:rPr>
              <w:t>.</w:t>
            </w:r>
            <w:r>
              <w:rPr>
                <w:rFonts w:ascii="仿宋_GB2312" w:hAnsi="仿宋_GB2312" w:eastAsia="仿宋_GB2312" w:cs="仿宋_GB2312"/>
                <w:kern w:val="0"/>
                <w:sz w:val="28"/>
                <w:szCs w:val="28"/>
                <w:highlight w:val="none"/>
                <w:lang w:val="en"/>
              </w:rPr>
              <w:t>3</w:t>
            </w:r>
            <w:r>
              <w:rPr>
                <w:rFonts w:hint="eastAsia" w:ascii="仿宋_GB2312" w:hAnsi="仿宋_GB2312" w:eastAsia="仿宋_GB2312" w:cs="仿宋_GB2312"/>
                <w:kern w:val="0"/>
                <w:sz w:val="28"/>
                <w:szCs w:val="28"/>
                <w:highlight w:val="none"/>
              </w:rPr>
              <w:t>登录到环境信息披露操作页面，点击“依法披露”。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9014" w:type="dxa"/>
            <w:tcBorders>
              <w:tl2br w:val="nil"/>
              <w:tr2bl w:val="nil"/>
            </w:tcBorders>
          </w:tcPr>
          <w:p>
            <w:pPr>
              <w:jc w:val="left"/>
              <w:rPr>
                <w:rFonts w:hint="eastAsia" w:ascii="仿宋_GB2312" w:hAnsi="仿宋_GB2312" w:eastAsia="仿宋_GB2312" w:cs="仿宋_GB2312"/>
                <w:kern w:val="0"/>
                <w:sz w:val="28"/>
                <w:szCs w:val="28"/>
                <w:highlight w:val="none"/>
              </w:rPr>
            </w:pPr>
            <w:r>
              <w:rPr>
                <w:highlight w:val="none"/>
              </w:rPr>
              <w:drawing>
                <wp:inline distT="0" distB="0" distL="114300" distR="114300">
                  <wp:extent cx="5605145" cy="5120640"/>
                  <wp:effectExtent l="0" t="0" r="14605" b="3810"/>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22" cstate="print">
                            <a:extLst>
                              <a:ext uri="{28A0092B-C50C-407E-A947-70E740481C1C}">
                                <a14:useLocalDpi xmlns:a14="http://schemas.microsoft.com/office/drawing/2010/main" val="false"/>
                              </a:ext>
                            </a:extLst>
                          </a:blip>
                          <a:stretch>
                            <a:fillRect/>
                          </a:stretch>
                        </pic:blipFill>
                        <pic:spPr>
                          <a:xfrm>
                            <a:off x="0" y="0"/>
                            <a:ext cx="5605145" cy="5120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14" w:type="dxa"/>
            <w:tcBorders>
              <w:tl2br w:val="nil"/>
              <w:tr2bl w:val="nil"/>
            </w:tcBorders>
          </w:tcPr>
          <w:p>
            <w:pPr>
              <w:widowControl/>
              <w:ind w:firstLine="560" w:firstLineChars="200"/>
              <w:jc w:val="left"/>
              <w:rPr>
                <w:rFonts w:hint="eastAsia" w:ascii="黑体" w:hAnsi="黑体" w:eastAsia="仿宋_GB2312"/>
                <w:highlight w:val="none"/>
              </w:rPr>
            </w:pPr>
            <w:r>
              <w:rPr>
                <w:rFonts w:ascii="仿宋_GB2312" w:hAnsi="仿宋_GB2312" w:eastAsia="仿宋_GB2312" w:cs="仿宋_GB2312"/>
                <w:kern w:val="0"/>
                <w:sz w:val="28"/>
                <w:szCs w:val="28"/>
                <w:highlight w:val="none"/>
                <w:lang w:val="en"/>
              </w:rPr>
              <w:t>2</w:t>
            </w:r>
            <w:r>
              <w:rPr>
                <w:rFonts w:hint="eastAsia" w:ascii="仿宋_GB2312" w:hAnsi="仿宋_GB2312" w:eastAsia="仿宋_GB2312" w:cs="仿宋_GB2312"/>
                <w:kern w:val="0"/>
                <w:sz w:val="28"/>
                <w:szCs w:val="28"/>
                <w:highlight w:val="none"/>
              </w:rPr>
              <w:t>.</w:t>
            </w:r>
            <w:r>
              <w:rPr>
                <w:rFonts w:ascii="仿宋_GB2312" w:hAnsi="仿宋_GB2312" w:eastAsia="仿宋_GB2312" w:cs="仿宋_GB2312"/>
                <w:kern w:val="0"/>
                <w:sz w:val="28"/>
                <w:szCs w:val="28"/>
                <w:highlight w:val="none"/>
                <w:lang w:val="en"/>
              </w:rPr>
              <w:t>4</w:t>
            </w:r>
            <w:r>
              <w:rPr>
                <w:rFonts w:hint="eastAsia" w:ascii="仿宋_GB2312" w:hAnsi="仿宋_GB2312" w:eastAsia="仿宋_GB2312" w:cs="仿宋_GB2312"/>
                <w:kern w:val="0"/>
                <w:sz w:val="28"/>
                <w:szCs w:val="28"/>
                <w:highlight w:val="none"/>
              </w:rPr>
              <w:t>如显示“您不在依法披露名单内”，请确认“广东政务服务网”账户中的公司名称是否准确，公司税号是否为最新税号。如税号是旧的税号，请通过CA证书或线下办理等方式进行更新。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14" w:type="dxa"/>
            <w:tcBorders>
              <w:tl2br w:val="nil"/>
              <w:tr2bl w:val="nil"/>
            </w:tcBorders>
          </w:tcPr>
          <w:p>
            <w:pPr>
              <w:widowControl/>
              <w:jc w:val="left"/>
              <w:rPr>
                <w:rFonts w:hint="eastAsia"/>
                <w:highlight w:val="none"/>
              </w:rPr>
            </w:pPr>
            <w:r>
              <w:rPr>
                <w:highlight w:val="none"/>
              </w:rPr>
              <w:drawing>
                <wp:inline distT="0" distB="0" distL="114300" distR="114300">
                  <wp:extent cx="5030470" cy="1502410"/>
                  <wp:effectExtent l="0" t="0" r="17780" b="2540"/>
                  <wp:docPr id="1691916151" name="图片 16919161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91916151" name="图片 1691916151"/>
                          <pic:cNvPicPr>
                            <a:picLocks noChangeAspect="true"/>
                          </pic:cNvPicPr>
                        </pic:nvPicPr>
                        <pic:blipFill>
                          <a:blip r:embed="rId23" cstate="print">
                            <a:extLst>
                              <a:ext uri="{28A0092B-C50C-407E-A947-70E740481C1C}">
                                <a14:useLocalDpi xmlns:a14="http://schemas.microsoft.com/office/drawing/2010/main" val="false"/>
                              </a:ext>
                            </a:extLst>
                          </a:blip>
                          <a:srcRect b="32975"/>
                          <a:stretch>
                            <a:fillRect/>
                          </a:stretch>
                        </pic:blipFill>
                        <pic:spPr>
                          <a:xfrm>
                            <a:off x="0" y="0"/>
                            <a:ext cx="5030470" cy="1502410"/>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7" w:hRule="atLeast"/>
        </w:trPr>
        <w:tc>
          <w:tcPr>
            <w:tcW w:w="9014" w:type="dxa"/>
            <w:tcBorders>
              <w:tl2br w:val="nil"/>
              <w:tr2bl w:val="nil"/>
            </w:tcBorders>
          </w:tcPr>
          <w:p>
            <w:pPr>
              <w:ind w:firstLine="560" w:firstLineChars="200"/>
              <w:jc w:val="left"/>
              <w:rPr>
                <w:rFonts w:hint="eastAsia" w:ascii="仿宋_GB2312" w:hAnsi="仿宋_GB2312" w:eastAsia="仿宋_GB2312" w:cs="仿宋_GB2312"/>
                <w:kern w:val="0"/>
                <w:sz w:val="28"/>
                <w:szCs w:val="28"/>
                <w:highlight w:val="none"/>
              </w:rPr>
            </w:pPr>
            <w:r>
              <w:rPr>
                <w:rFonts w:ascii="仿宋_GB2312" w:hAnsi="仿宋_GB2312" w:eastAsia="仿宋_GB2312" w:cs="仿宋_GB2312"/>
                <w:kern w:val="0"/>
                <w:sz w:val="28"/>
                <w:szCs w:val="28"/>
                <w:highlight w:val="none"/>
                <w:lang w:val="en"/>
              </w:rPr>
              <w:t>2</w:t>
            </w:r>
            <w:r>
              <w:rPr>
                <w:rFonts w:hint="eastAsia" w:ascii="仿宋_GB2312" w:hAnsi="仿宋_GB2312" w:eastAsia="仿宋_GB2312" w:cs="仿宋_GB2312"/>
                <w:kern w:val="0"/>
                <w:sz w:val="28"/>
                <w:szCs w:val="28"/>
                <w:highlight w:val="none"/>
              </w:rPr>
              <w:t>.</w:t>
            </w:r>
            <w:r>
              <w:rPr>
                <w:rFonts w:ascii="仿宋_GB2312" w:hAnsi="仿宋_GB2312" w:eastAsia="仿宋_GB2312" w:cs="仿宋_GB2312"/>
                <w:kern w:val="0"/>
                <w:sz w:val="28"/>
                <w:szCs w:val="28"/>
                <w:highlight w:val="none"/>
                <w:lang w:val="en"/>
              </w:rPr>
              <w:t>5</w:t>
            </w:r>
            <w:r>
              <w:rPr>
                <w:rFonts w:hint="eastAsia" w:ascii="仿宋_GB2312" w:hAnsi="仿宋_GB2312" w:eastAsia="仿宋_GB2312" w:cs="仿宋_GB2312"/>
                <w:kern w:val="0"/>
                <w:sz w:val="28"/>
                <w:szCs w:val="28"/>
                <w:highlight w:val="none"/>
              </w:rPr>
              <w:t>企业成功登录后，系统将跳转至广东省生态环境绿色发展服务平台，点击“依法披露”根据需要选择“新增年度报告”或“新增临时报告”，开始环境信息披露填报。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14" w:type="dxa"/>
            <w:tcBorders>
              <w:tl2br w:val="nil"/>
              <w:tr2bl w:val="nil"/>
            </w:tcBorders>
          </w:tcPr>
          <w:p>
            <w:pPr>
              <w:jc w:val="left"/>
              <w:rPr>
                <w:rFonts w:hint="eastAsia" w:ascii="仿宋_GB2312" w:hAnsi="仿宋_GB2312" w:eastAsia="仿宋_GB2312" w:cs="仿宋_GB2312"/>
                <w:kern w:val="0"/>
                <w:sz w:val="28"/>
                <w:szCs w:val="28"/>
                <w:highlight w:val="none"/>
              </w:rPr>
            </w:pPr>
            <w:r>
              <w:rPr>
                <w:highlight w:val="none"/>
              </w:rPr>
              <w:drawing>
                <wp:inline distT="0" distB="0" distL="114300" distR="114300">
                  <wp:extent cx="5654040" cy="3344545"/>
                  <wp:effectExtent l="0" t="0" r="3810" b="8255"/>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24" cstate="print">
                            <a:extLst>
                              <a:ext uri="{28A0092B-C50C-407E-A947-70E740481C1C}">
                                <a14:useLocalDpi xmlns:a14="http://schemas.microsoft.com/office/drawing/2010/main" val="false"/>
                              </a:ext>
                            </a:extLst>
                          </a:blip>
                          <a:stretch>
                            <a:fillRect/>
                          </a:stretch>
                        </pic:blipFill>
                        <pic:spPr>
                          <a:xfrm>
                            <a:off x="0" y="0"/>
                            <a:ext cx="5654040" cy="33445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9014" w:type="dxa"/>
            <w:tcBorders>
              <w:tl2br w:val="nil"/>
              <w:tr2bl w:val="nil"/>
            </w:tcBorders>
          </w:tcPr>
          <w:p>
            <w:pPr>
              <w:jc w:val="left"/>
              <w:rPr>
                <w:rFonts w:hint="eastAsia"/>
                <w:highlight w:val="none"/>
              </w:rPr>
            </w:pPr>
          </w:p>
        </w:tc>
      </w:tr>
    </w:tbl>
    <w:p>
      <w:pPr>
        <w:rPr>
          <w:rFonts w:hint="eastAsia"/>
          <w:highlight w:val="none"/>
        </w:rPr>
      </w:pPr>
    </w:p>
    <w:p>
      <w:pPr>
        <w:pStyle w:val="3"/>
        <w:numPr>
          <w:ilvl w:val="0"/>
          <w:numId w:val="3"/>
        </w:numPr>
        <w:rPr>
          <w:rFonts w:hint="eastAsia"/>
          <w:highlight w:val="none"/>
        </w:rPr>
      </w:pPr>
      <w:r>
        <w:rPr>
          <w:rFonts w:hint="eastAsia"/>
          <w:highlight w:val="none"/>
        </w:rPr>
        <w:br w:type="page"/>
      </w:r>
      <w:bookmarkStart w:id="14" w:name="_Toc3251"/>
      <w:bookmarkStart w:id="15" w:name="_Toc7707"/>
      <w:r>
        <w:rPr>
          <w:rFonts w:hint="eastAsia"/>
          <w:highlight w:val="none"/>
        </w:rPr>
        <w:t>临时报告填报指南</w:t>
      </w:r>
      <w:bookmarkEnd w:id="14"/>
      <w:bookmarkEnd w:id="15"/>
    </w:p>
    <w:p>
      <w:pPr>
        <w:pStyle w:val="4"/>
        <w:numPr>
          <w:ilvl w:val="0"/>
          <w:numId w:val="4"/>
        </w:numPr>
        <w:rPr>
          <w:rFonts w:hint="eastAsia" w:ascii="仿宋_GB2312" w:hAnsi="仿宋_GB2312" w:eastAsia="仿宋_GB2312" w:cs="仿宋_GB2312"/>
          <w:b w:val="0"/>
          <w:sz w:val="28"/>
          <w:szCs w:val="28"/>
          <w:highlight w:val="none"/>
        </w:rPr>
      </w:pPr>
      <w:bookmarkStart w:id="16" w:name="_Toc18776"/>
      <w:r>
        <w:rPr>
          <w:rFonts w:hint="eastAsia" w:ascii="仿宋_GB2312" w:hAnsi="仿宋_GB2312" w:eastAsia="仿宋_GB2312" w:cs="仿宋_GB2312"/>
          <w:sz w:val="28"/>
          <w:szCs w:val="28"/>
          <w:highlight w:val="none"/>
        </w:rPr>
        <w:t>实施临时披露的情形</w:t>
      </w:r>
      <w:bookmarkEnd w:id="16"/>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企业发生下列情况时，需编制临时报告：</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（1）当生态环境行政许可准予、变更、延续、撤销时（具体生态环境行政许可名录见指引附件4《生态环境部38项行政许可事项清单》）；</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（2）当因生态环境违法行为受到行政处罚的信息，包括警告、通报批评、罚款、没收违法所得、没收非法财物、暂扣许可证件、等信息；</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（3）当因生态环境违法行为，其法定代表人、主要负责人、直接负责的主管和其他直接责任人被依法处以行政拘留的信息；</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（4）当因生态环境违法行为，企业或者其法定代表人、主要负责人、直接负责的主管和其他直接责任人被追究刑事责任的信息；；</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（5）当签订生态环境损害赔偿协议时；</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（6）当发生突发环境事件时；</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（7）当根据实际情况对已披露的环境信息进行变更，需说明变更的事项和理由时。</w:t>
      </w:r>
    </w:p>
    <w:p>
      <w:pPr>
        <w:pStyle w:val="4"/>
        <w:numPr>
          <w:ilvl w:val="0"/>
          <w:numId w:val="4"/>
        </w:numPr>
        <w:rPr>
          <w:rFonts w:hint="eastAsia" w:ascii="仿宋_GB2312" w:hAnsi="仿宋_GB2312" w:cs="仿宋_GB2312"/>
          <w:sz w:val="28"/>
          <w:szCs w:val="28"/>
          <w:highlight w:val="none"/>
        </w:rPr>
      </w:pPr>
      <w:bookmarkStart w:id="17" w:name="_Toc23299"/>
      <w:r>
        <w:rPr>
          <w:rFonts w:hint="eastAsia" w:ascii="仿宋_GB2312" w:hAnsi="仿宋_GB2312" w:cs="仿宋_GB2312"/>
          <w:sz w:val="28"/>
          <w:szCs w:val="28"/>
          <w:highlight w:val="none"/>
        </w:rPr>
        <w:t>临时报告的填报要求</w:t>
      </w:r>
      <w:bookmarkEnd w:id="17"/>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临时披露报告的填报参照下文“四、年度报告填报指南”中的披露说明进行填报。全部填写完毕后点击“保存”，返回新增报告页面，对已保存的报告可进行“发布”“编辑”“预览”“删除”操作。点击“发布”后，在弹窗内勾选“我已阅读并理解上述警告信息”，并点击“确认提交”。即可完成环境信息依法披露临时报告的提交。报告24小时后自动公示，公示后无法再进行内容的修改。</w:t>
      </w:r>
      <w:r>
        <w:rPr>
          <w:highlight w:val="none"/>
        </w:rPr>
        <w:drawing>
          <wp:anchor distT="0" distB="0" distL="114300" distR="114300" simplePos="0" relativeHeight="251665408" behindDoc="0" locked="0" layoutInCell="1" allowOverlap="1">
            <wp:simplePos x="0" y="0"/>
            <wp:positionH relativeFrom="margin">
              <wp:posOffset>-13335</wp:posOffset>
            </wp:positionH>
            <wp:positionV relativeFrom="paragraph">
              <wp:posOffset>2122805</wp:posOffset>
            </wp:positionV>
            <wp:extent cx="5615305" cy="2736850"/>
            <wp:effectExtent l="0" t="0" r="4445" b="6350"/>
            <wp:wrapTopAndBottom/>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25" cstate="print">
                      <a:extLst>
                        <a:ext uri="{28A0092B-C50C-407E-A947-70E740481C1C}">
                          <a14:useLocalDpi xmlns:a14="http://schemas.microsoft.com/office/drawing/2010/main" val="false"/>
                        </a:ext>
                      </a:extLst>
                    </a:blip>
                    <a:stretch>
                      <a:fillRect/>
                    </a:stretch>
                  </pic:blipFill>
                  <pic:spPr>
                    <a:xfrm>
                      <a:off x="0" y="0"/>
                      <a:ext cx="5615305" cy="2736850"/>
                    </a:xfrm>
                    <a:prstGeom prst="rect">
                      <a:avLst/>
                    </a:prstGeom>
                  </pic:spPr>
                </pic:pic>
              </a:graphicData>
            </a:graphic>
          </wp:anchor>
        </w:drawing>
      </w:r>
    </w:p>
    <w:p>
      <w:pPr>
        <w:pStyle w:val="4"/>
        <w:numPr>
          <w:ilvl w:val="0"/>
          <w:numId w:val="4"/>
        </w:numPr>
        <w:spacing w:after="0" w:line="240" w:lineRule="auto"/>
        <w:ind w:left="0" w:firstLine="0"/>
        <w:rPr>
          <w:rFonts w:hint="eastAsia" w:ascii="仿宋_GB2312" w:hAnsi="仿宋_GB2312" w:eastAsia="仿宋_GB2312" w:cs="仿宋_GB2312"/>
          <w:b w:val="0"/>
          <w:sz w:val="28"/>
          <w:szCs w:val="28"/>
          <w:highlight w:val="none"/>
        </w:rPr>
      </w:pPr>
      <w:bookmarkStart w:id="18" w:name="_Toc18957"/>
      <w:r>
        <w:rPr>
          <w:rFonts w:hint="eastAsia" w:ascii="仿宋_GB2312" w:hAnsi="仿宋_GB2312" w:eastAsia="仿宋_GB2312" w:cs="仿宋_GB2312"/>
          <w:sz w:val="28"/>
          <w:szCs w:val="28"/>
          <w:highlight w:val="none"/>
        </w:rPr>
        <w:t>临时报告</w:t>
      </w:r>
      <w:r>
        <w:rPr>
          <w:rFonts w:hint="eastAsia" w:ascii="仿宋_GB2312" w:hAnsi="仿宋_GB2312" w:cs="仿宋_GB2312"/>
          <w:sz w:val="28"/>
          <w:szCs w:val="28"/>
          <w:highlight w:val="none"/>
        </w:rPr>
        <w:t>的披露时</w:t>
      </w:r>
      <w:r>
        <w:rPr>
          <w:rFonts w:hint="eastAsia" w:ascii="仿宋_GB2312" w:hAnsi="仿宋_GB2312" w:eastAsia="仿宋_GB2312" w:cs="仿宋_GB2312"/>
          <w:sz w:val="28"/>
          <w:szCs w:val="28"/>
          <w:highlight w:val="none"/>
        </w:rPr>
        <w:t>限</w:t>
      </w:r>
      <w:bookmarkEnd w:id="18"/>
    </w:p>
    <w:p>
      <w:pPr>
        <w:ind w:firstLine="560" w:firstLineChars="200"/>
        <w:rPr>
          <w:rFonts w:hint="eastAsia" w:ascii="仿宋_GB2312" w:hAnsi="仿宋_GB2312" w:eastAsia="仿宋_GB2312" w:cs="仿宋_GB2312"/>
          <w:b/>
          <w:color w:val="FF0000"/>
          <w:sz w:val="28"/>
          <w:szCs w:val="28"/>
          <w:highlight w:val="none"/>
        </w:rPr>
      </w:pPr>
      <w:r>
        <w:rPr>
          <w:rFonts w:hint="eastAsia" w:ascii="仿宋_GB2312" w:hAnsi="仿宋_GB2312" w:eastAsia="仿宋_GB2312" w:cs="仿宋_GB2312"/>
          <w:sz w:val="28"/>
          <w:szCs w:val="28"/>
          <w:highlight w:val="none"/>
        </w:rPr>
        <w:t>环境信息披露企业名单公布前存在《管理办法》第十七条规定的环境信息的，应当于</w:t>
      </w:r>
      <w:r>
        <w:rPr>
          <w:rFonts w:hint="eastAsia" w:ascii="仿宋_GB2312" w:hAnsi="仿宋_GB2312" w:eastAsia="仿宋_GB2312" w:cs="仿宋_GB2312"/>
          <w:b/>
          <w:color w:val="EE0000"/>
          <w:sz w:val="28"/>
          <w:szCs w:val="28"/>
          <w:highlight w:val="none"/>
        </w:rPr>
        <w:t>企业名单公布后十个工作日</w:t>
      </w:r>
      <w:r>
        <w:rPr>
          <w:rFonts w:hint="eastAsia" w:ascii="仿宋_GB2312" w:hAnsi="仿宋_GB2312" w:eastAsia="仿宋_GB2312" w:cs="仿宋_GB2312"/>
          <w:sz w:val="28"/>
          <w:szCs w:val="28"/>
          <w:highlight w:val="none"/>
        </w:rPr>
        <w:t>内以临时环境信息依法披露报告的形式披露本年度企业名单公布前的相关信息。</w:t>
      </w:r>
      <w:r>
        <w:rPr>
          <w:rFonts w:hint="eastAsia" w:ascii="仿宋_GB2312" w:hAnsi="仿宋_GB2312" w:eastAsia="仿宋_GB2312" w:cs="仿宋_GB2312"/>
          <w:b/>
          <w:bCs/>
          <w:color w:val="FF0000"/>
          <w:sz w:val="28"/>
          <w:szCs w:val="28"/>
          <w:highlight w:val="none"/>
        </w:rPr>
        <w:t>已纳入披露名单企业，收到相关法律文书之日起五个工作日内完成披露。</w:t>
      </w:r>
    </w:p>
    <w:p>
      <w:pPr>
        <w:rPr>
          <w:rFonts w:hint="eastAsia"/>
          <w:highlight w:val="none"/>
        </w:rPr>
      </w:pPr>
    </w:p>
    <w:p>
      <w:pPr>
        <w:pStyle w:val="2"/>
        <w:rPr>
          <w:rFonts w:hint="eastAsia"/>
          <w:highlight w:val="none"/>
        </w:rPr>
      </w:pPr>
    </w:p>
    <w:p>
      <w:pPr>
        <w:pStyle w:val="2"/>
        <w:ind w:left="0" w:leftChars="0"/>
        <w:rPr>
          <w:rFonts w:hint="eastAsia"/>
          <w:highlight w:val="none"/>
        </w:rPr>
      </w:pPr>
    </w:p>
    <w:p>
      <w:pPr>
        <w:pStyle w:val="3"/>
        <w:numPr>
          <w:ilvl w:val="0"/>
          <w:numId w:val="3"/>
        </w:numPr>
        <w:rPr>
          <w:rFonts w:hint="eastAsia"/>
          <w:highlight w:val="none"/>
        </w:rPr>
      </w:pPr>
      <w:bookmarkStart w:id="19" w:name="_Toc30072"/>
      <w:bookmarkStart w:id="20" w:name="_Toc8338"/>
      <w:r>
        <w:rPr>
          <w:rFonts w:hint="eastAsia"/>
          <w:highlight w:val="none"/>
        </w:rPr>
        <w:t>年度报告填报指南</w:t>
      </w:r>
      <w:bookmarkEnd w:id="19"/>
      <w:bookmarkEnd w:id="20"/>
    </w:p>
    <w:p>
      <w:pPr>
        <w:pStyle w:val="4"/>
        <w:numPr>
          <w:ilvl w:val="0"/>
          <w:numId w:val="5"/>
        </w:numPr>
        <w:rPr>
          <w:rFonts w:hint="eastAsia"/>
          <w:highlight w:val="none"/>
        </w:rPr>
      </w:pPr>
      <w:bookmarkStart w:id="21" w:name="_Toc8209"/>
      <w:bookmarkStart w:id="22" w:name="_Toc22591"/>
      <w:bookmarkStart w:id="23" w:name="_Toc210058118"/>
      <w:bookmarkStart w:id="24" w:name="_Toc210058639"/>
      <w:r>
        <w:rPr>
          <w:rFonts w:hint="eastAsia"/>
          <w:highlight w:val="none"/>
        </w:rPr>
        <w:t>年度报告封面及扉页</w:t>
      </w:r>
      <w:bookmarkEnd w:id="21"/>
      <w:bookmarkEnd w:id="22"/>
      <w:bookmarkEnd w:id="23"/>
      <w:bookmarkEnd w:id="24"/>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pPr>
              <w:ind w:firstLine="560" w:firstLineChars="200"/>
              <w:rPr>
                <w:rFonts w:hint="eastAsia"/>
                <w:highlight w:val="none"/>
              </w:rPr>
            </w:pPr>
            <w:r>
              <w:rPr>
                <w:rFonts w:hint="eastAsia" w:ascii="仿宋_GB2312" w:hAnsi="仿宋_GB2312" w:eastAsia="仿宋_GB2312" w:cs="仿宋_GB2312"/>
                <w:kern w:val="0"/>
                <w:sz w:val="28"/>
                <w:szCs w:val="28"/>
                <w:highlight w:val="none"/>
              </w:rPr>
              <w:t>封面及扉页需填报报告名称、企业中文名称和统一社会信用代码、报告年度和编制日期，本部分内容为系统自动生成，确认信息无误后，点击“下一步”。</w:t>
            </w:r>
            <w:r>
              <w:rPr>
                <w:rFonts w:hint="eastAsia" w:ascii="仿宋_GB2312" w:hAnsi="仿宋_GB2312" w:eastAsia="仿宋_GB2312" w:cs="仿宋_GB2312"/>
                <w:sz w:val="28"/>
                <w:szCs w:val="28"/>
                <w:highlight w:val="none"/>
              </w:rPr>
              <w:t>如信息有误</w:t>
            </w:r>
            <w:r>
              <w:rPr>
                <w:rFonts w:hint="eastAsia" w:ascii="仿宋_GB2312" w:hAnsi="仿宋_GB2312" w:eastAsia="仿宋_GB2312" w:cs="仿宋_GB2312"/>
                <w:kern w:val="0"/>
                <w:sz w:val="28"/>
                <w:szCs w:val="28"/>
                <w:highlight w:val="none"/>
              </w:rPr>
              <w:t>请联系技术服务单位解决（魏工15626039110）。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pPr>
              <w:rPr>
                <w:rFonts w:hint="eastAsia"/>
                <w:highlight w:val="none"/>
              </w:rPr>
            </w:pPr>
            <w:bookmarkStart w:id="25" w:name="_Toc210058119"/>
            <w:r>
              <w:rPr>
                <w:rFonts w:hint="eastAsia"/>
                <w:highlight w:val="none"/>
              </w:rPr>
              <w:drawing>
                <wp:inline distT="0" distB="0" distL="114300" distR="114300">
                  <wp:extent cx="5621020" cy="2938145"/>
                  <wp:effectExtent l="0" t="0" r="17780" b="14605"/>
                  <wp:docPr id="1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true"/>
                          </pic:cNvPicPr>
                        </pic:nvPicPr>
                        <pic:blipFill>
                          <a:blip r:embed="rId26" cstate="print">
                            <a:extLst>
                              <a:ext uri="{28A0092B-C50C-407E-A947-70E740481C1C}">
                                <a14:useLocalDpi xmlns:a14="http://schemas.microsoft.com/office/drawing/2010/main" val="false"/>
                              </a:ext>
                            </a:extLst>
                          </a:blip>
                          <a:stretch>
                            <a:fillRect/>
                          </a:stretch>
                        </pic:blipFill>
                        <pic:spPr>
                          <a:xfrm>
                            <a:off x="0" y="0"/>
                            <a:ext cx="5621020" cy="2938145"/>
                          </a:xfrm>
                          <a:prstGeom prst="rect">
                            <a:avLst/>
                          </a:prstGeom>
                        </pic:spPr>
                      </pic:pic>
                    </a:graphicData>
                  </a:graphic>
                </wp:inline>
              </w:drawing>
            </w:r>
            <w:bookmarkEnd w:id="25"/>
          </w:p>
        </w:tc>
      </w:tr>
    </w:tbl>
    <w:p>
      <w:pPr>
        <w:rPr>
          <w:rFonts w:hint="eastAsia"/>
          <w:highlight w:val="none"/>
        </w:rPr>
      </w:pPr>
    </w:p>
    <w:p>
      <w:pPr>
        <w:rPr>
          <w:rFonts w:hint="eastAsia"/>
          <w:highlight w:val="none"/>
        </w:rPr>
      </w:pPr>
      <w:r>
        <w:rPr>
          <w:highlight w:val="none"/>
        </w:rPr>
        <w:br w:type="page"/>
      </w:r>
    </w:p>
    <w:p>
      <w:pPr>
        <w:pStyle w:val="4"/>
        <w:numPr>
          <w:ilvl w:val="0"/>
          <w:numId w:val="5"/>
        </w:numPr>
        <w:rPr>
          <w:rFonts w:hint="eastAsia"/>
          <w:highlight w:val="none"/>
        </w:rPr>
      </w:pPr>
      <w:bookmarkStart w:id="26" w:name="_Toc25083"/>
      <w:bookmarkStart w:id="27" w:name="_Toc20152"/>
      <w:bookmarkStart w:id="28" w:name="_Toc210058640"/>
      <w:bookmarkStart w:id="29" w:name="_Toc210058120"/>
      <w:r>
        <w:rPr>
          <w:rFonts w:hint="eastAsia"/>
          <w:highlight w:val="none"/>
        </w:rPr>
        <w:t>关键环境信息提要</w:t>
      </w:r>
      <w:bookmarkEnd w:id="26"/>
      <w:bookmarkEnd w:id="27"/>
      <w:bookmarkEnd w:id="28"/>
      <w:bookmarkEnd w:id="29"/>
    </w:p>
    <w:tbl>
      <w:tblPr>
        <w:tblStyle w:val="1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0" w:type="dxa"/>
            <w:tcBorders>
              <w:tl2br w:val="nil"/>
              <w:tr2bl w:val="nil"/>
            </w:tcBorders>
          </w:tcPr>
          <w:p>
            <w:pPr>
              <w:ind w:firstLine="562" w:firstLineChars="200"/>
              <w:jc w:val="left"/>
              <w:rPr>
                <w:rFonts w:hint="eastAsia" w:ascii="仿宋_GB2312" w:hAnsi="仿宋_GB2312" w:eastAsia="仿宋_GB2312" w:cs="仿宋_GB2312"/>
                <w:sz w:val="28"/>
                <w:szCs w:val="28"/>
                <w:highlight w:val="none"/>
              </w:rPr>
            </w:pPr>
            <w:r>
              <w:rPr>
                <w:rFonts w:ascii="仿宋_GB2312" w:hAnsi="仿宋_GB2312" w:eastAsia="仿宋_GB2312" w:cs="仿宋_GB2312"/>
                <w:b/>
                <w:bCs/>
                <w:sz w:val="28"/>
                <w:szCs w:val="28"/>
                <w:highlight w:val="none"/>
              </w:rPr>
              <w:t>2.1环境行政许可及变更</w:t>
            </w:r>
          </w:p>
          <w:p>
            <w:pPr>
              <w:ind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环境类行政许可参考工作指引附件4《生态环境部38</w:t>
            </w:r>
            <w:r>
              <w:rPr>
                <w:rFonts w:ascii="仿宋_GB2312" w:hAnsi="仿宋_GB2312" w:eastAsia="仿宋_GB2312" w:cs="仿宋_GB2312"/>
                <w:sz w:val="28"/>
                <w:szCs w:val="28"/>
                <w:highlight w:val="none"/>
              </w:rPr>
              <w:t>项行政许可事项清单》</w:t>
            </w:r>
            <w:r>
              <w:rPr>
                <w:rFonts w:hint="eastAsia" w:ascii="仿宋_GB2312" w:hAnsi="仿宋_GB2312" w:eastAsia="仿宋_GB2312" w:cs="仿宋_GB2312"/>
                <w:sz w:val="28"/>
                <w:szCs w:val="28"/>
                <w:highlight w:val="none"/>
              </w:rPr>
              <w:t>进行自查，将本</w:t>
            </w:r>
            <w:r>
              <w:rPr>
                <w:rFonts w:ascii="仿宋_GB2312" w:hAnsi="仿宋_GB2312" w:eastAsia="仿宋_GB2312" w:cs="仿宋_GB2312"/>
                <w:sz w:val="28"/>
                <w:szCs w:val="28"/>
                <w:highlight w:val="none"/>
              </w:rPr>
              <w:t>年度</w:t>
            </w:r>
            <w:r>
              <w:rPr>
                <w:rFonts w:hint="eastAsia" w:ascii="仿宋_GB2312" w:hAnsi="仿宋_GB2312" w:eastAsia="仿宋_GB2312" w:cs="仿宋_GB2312"/>
                <w:b/>
                <w:bCs/>
                <w:color w:val="FF0000"/>
                <w:sz w:val="28"/>
                <w:szCs w:val="28"/>
                <w:highlight w:val="none"/>
              </w:rPr>
              <w:t>有效期内新获得、变更、延续、撤销、正在申请</w:t>
            </w:r>
            <w:r>
              <w:rPr>
                <w:rFonts w:hint="eastAsia" w:ascii="仿宋_GB2312" w:hAnsi="仿宋_GB2312" w:eastAsia="仿宋_GB2312" w:cs="仿宋_GB2312"/>
                <w:sz w:val="28"/>
                <w:szCs w:val="28"/>
                <w:highlight w:val="none"/>
              </w:rPr>
              <w:t>的全部生态环境行政许可信息进行披露。</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0"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ascii="仿宋_GB2312" w:hAnsi="仿宋_GB2312" w:eastAsia="仿宋_GB2312" w:cs="仿宋_GB2312"/>
                <w:b/>
                <w:bCs/>
                <w:sz w:val="28"/>
                <w:szCs w:val="28"/>
                <w:highlight w:val="none"/>
              </w:rPr>
              <w:t>2.2污染物与二氧化碳排放</w:t>
            </w:r>
          </w:p>
          <w:p>
            <w:pPr>
              <w:ind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参照示例的格式要求披露本年度污染物与碳排放情况，数据参考排污许可证年报及碳排放核查报告</w:t>
            </w:r>
            <w:r>
              <w:rPr>
                <w:rFonts w:hint="eastAsia" w:ascii="仿宋_GB2312" w:hAnsi="仿宋_GB2312" w:eastAsia="仿宋_GB2312" w:cs="仿宋_GB2312"/>
                <w:b/>
                <w:bCs/>
                <w:sz w:val="28"/>
                <w:szCs w:val="28"/>
                <w:highlight w:val="none"/>
              </w:rPr>
              <w:t>（</w:t>
            </w:r>
            <w:r>
              <w:rPr>
                <w:rFonts w:hint="eastAsia" w:ascii="仿宋_GB2312" w:hAnsi="仿宋_GB2312" w:eastAsia="仿宋_GB2312" w:cs="仿宋_GB2312"/>
                <w:b/>
                <w:bCs/>
                <w:color w:val="FF0000"/>
                <w:sz w:val="28"/>
                <w:szCs w:val="28"/>
                <w:highlight w:val="none"/>
              </w:rPr>
              <w:t>未纳入碳排放权交易市场配额管理的单位，无需强制披露碳排放信息</w:t>
            </w:r>
            <w:r>
              <w:rPr>
                <w:rFonts w:hint="eastAsia" w:ascii="仿宋_GB2312" w:hAnsi="仿宋_GB2312" w:eastAsia="仿宋_GB2312" w:cs="仿宋_GB2312"/>
                <w:b/>
                <w:bCs/>
                <w:sz w:val="28"/>
                <w:szCs w:val="28"/>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5" w:hRule="atLeast"/>
        </w:trPr>
        <w:tc>
          <w:tcPr>
            <w:tcW w:w="9060" w:type="dxa"/>
            <w:tcBorders>
              <w:tl2br w:val="nil"/>
              <w:tr2bl w:val="nil"/>
            </w:tcBorders>
          </w:tcPr>
          <w:p>
            <w:pPr>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inline distT="0" distB="0" distL="114300" distR="114300">
                  <wp:extent cx="5605780" cy="2825115"/>
                  <wp:effectExtent l="0" t="0" r="13970" b="13335"/>
                  <wp:docPr id="16" name="图片 16" descr="3f331a452a2c9690d60fd7dd65be7d6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3f331a452a2c9690d60fd7dd65be7d6e"/>
                          <pic:cNvPicPr>
                            <a:picLocks noChangeAspect="true"/>
                          </pic:cNvPicPr>
                        </pic:nvPicPr>
                        <pic:blipFill>
                          <a:blip r:embed="rId27"/>
                          <a:stretch>
                            <a:fillRect/>
                          </a:stretch>
                        </pic:blipFill>
                        <pic:spPr>
                          <a:xfrm>
                            <a:off x="0" y="0"/>
                            <a:ext cx="5605780" cy="28251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0"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2.3行政处罚与司法判决</w:t>
            </w:r>
          </w:p>
          <w:p>
            <w:pPr>
              <w:ind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披露本年度受到的行政处罚与司法判决情况。</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0"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2.4其他关键环境信息</w:t>
            </w:r>
          </w:p>
          <w:p>
            <w:pPr>
              <w:ind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无相关内容可写“无”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0" w:type="dxa"/>
            <w:tcBorders>
              <w:tl2br w:val="nil"/>
              <w:tr2bl w:val="nil"/>
            </w:tcBorders>
          </w:tcPr>
          <w:p>
            <w:pPr>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inline distT="0" distB="0" distL="114300" distR="114300">
                  <wp:extent cx="5614035" cy="2152015"/>
                  <wp:effectExtent l="0" t="0" r="5715" b="635"/>
                  <wp:docPr id="17" name="图片 17" descr="d445c35caf8b391c5b482b70f7e8233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d445c35caf8b391c5b482b70f7e8233e"/>
                          <pic:cNvPicPr>
                            <a:picLocks noChangeAspect="true"/>
                          </pic:cNvPicPr>
                        </pic:nvPicPr>
                        <pic:blipFill>
                          <a:blip r:embed="rId28"/>
                          <a:stretch>
                            <a:fillRect/>
                          </a:stretch>
                        </pic:blipFill>
                        <pic:spPr>
                          <a:xfrm>
                            <a:off x="0" y="0"/>
                            <a:ext cx="5614035" cy="21520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0" w:type="dxa"/>
            <w:tcBorders>
              <w:tl2br w:val="nil"/>
              <w:tr2bl w:val="nil"/>
            </w:tcBorders>
          </w:tcPr>
          <w:p>
            <w:pPr>
              <w:numPr>
                <w:ilvl w:val="255"/>
                <w:numId w:val="0"/>
              </w:num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numPr>
                <w:ilvl w:val="255"/>
                <w:numId w:val="0"/>
              </w:num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（1）行政许可信息：</w:t>
            </w:r>
            <w:r>
              <w:rPr>
                <w:rFonts w:hint="eastAsia" w:ascii="仿宋_GB2312" w:hAnsi="仿宋_GB2312" w:eastAsia="仿宋_GB2312" w:cs="仿宋_GB2312"/>
                <w:sz w:val="28"/>
                <w:szCs w:val="28"/>
                <w:highlight w:val="none"/>
              </w:rPr>
              <w:t>2025年，本企业共涉及生态环境行政许可文件</w:t>
            </w:r>
            <w:r>
              <w:rPr>
                <w:rFonts w:ascii="仿宋_GB2312" w:hAnsi="仿宋_GB2312" w:eastAsia="仿宋_GB2312" w:cs="仿宋_GB2312"/>
                <w:sz w:val="28"/>
                <w:szCs w:val="28"/>
                <w:highlight w:val="none"/>
              </w:rPr>
              <w:t>5份，其中，新获得2份，变更2份，延续1份，撤销0份，正在申请0份。</w:t>
            </w:r>
          </w:p>
          <w:p>
            <w:pPr>
              <w:numPr>
                <w:ilvl w:val="255"/>
                <w:numId w:val="0"/>
              </w:num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w:t>
            </w:r>
            <w:r>
              <w:rPr>
                <w:rFonts w:ascii="仿宋_GB2312" w:hAnsi="仿宋_GB2312" w:eastAsia="仿宋_GB2312" w:cs="仿宋_GB2312"/>
                <w:b/>
                <w:bCs/>
                <w:sz w:val="28"/>
                <w:szCs w:val="28"/>
                <w:highlight w:val="none"/>
              </w:rPr>
              <w:t>2</w:t>
            </w:r>
            <w:r>
              <w:rPr>
                <w:rFonts w:hint="eastAsia" w:ascii="仿宋_GB2312" w:hAnsi="仿宋_GB2312" w:eastAsia="仿宋_GB2312" w:cs="仿宋_GB2312"/>
                <w:b/>
                <w:bCs/>
                <w:sz w:val="28"/>
                <w:szCs w:val="28"/>
                <w:highlight w:val="none"/>
              </w:rPr>
              <w:t>）污染物与二氧化碳排放：</w:t>
            </w:r>
            <w:r>
              <w:rPr>
                <w:rFonts w:hint="eastAsia" w:ascii="仿宋_GB2312" w:hAnsi="仿宋_GB2312" w:eastAsia="仿宋_GB2312" w:cs="仿宋_GB2312"/>
                <w:sz w:val="28"/>
                <w:szCs w:val="28"/>
                <w:highlight w:val="none"/>
              </w:rPr>
              <w:t>2025年，本企业排放水污染物</w:t>
            </w:r>
            <w:r>
              <w:rPr>
                <w:rFonts w:ascii="仿宋_GB2312" w:hAnsi="仿宋_GB2312" w:eastAsia="仿宋_GB2312" w:cs="仿宋_GB2312"/>
                <w:sz w:val="28"/>
                <w:szCs w:val="28"/>
                <w:highlight w:val="none"/>
              </w:rPr>
              <w:t>2种，主要为COD、氨氮，COD排放量2.88吨，氨氮排放量1.23吨；排放大气污染物7种，分别为氮氧化物0.255吨、颗粒物60.38吨、铬酸雾0吨、甲苯0.01吨、二甲苯0.003吨、苯0.00054吨、非甲烷总烃0.076575吨；涉及一般工业固体废物2种，为废纸、污泥。其中废纸产生量52.23吨，委外处置52.23吨；污泥产生量900吨，委外处置900吨。涉及危险废物3种，废导热油产生量0.22吨，委外处置量0.22吨；废油漆桶产生量5吨，委外处置量4吨。排放有毒有害物质0种；本企业总共排放二氧化碳0万吨。</w:t>
            </w:r>
          </w:p>
          <w:p>
            <w:pPr>
              <w:numPr>
                <w:ilvl w:val="255"/>
                <w:numId w:val="0"/>
              </w:numPr>
              <w:ind w:firstLine="562" w:firstLineChars="200"/>
              <w:jc w:val="left"/>
              <w:rPr>
                <w:rFonts w:hint="eastAsia" w:ascii="仿宋_GB2312" w:hAnsi="仿宋_GB2312" w:eastAsia="仿宋_GB2312" w:cs="仿宋_GB2312"/>
                <w:b/>
                <w:bCs/>
                <w:color w:val="FF0000"/>
                <w:sz w:val="28"/>
                <w:szCs w:val="28"/>
                <w:highlight w:val="none"/>
              </w:rPr>
            </w:pPr>
            <w:r>
              <w:rPr>
                <w:rFonts w:hint="eastAsia" w:ascii="仿宋_GB2312" w:hAnsi="仿宋_GB2312" w:eastAsia="仿宋_GB2312" w:cs="仿宋_GB2312"/>
                <w:b/>
                <w:bCs/>
                <w:color w:val="FF0000"/>
                <w:sz w:val="28"/>
                <w:szCs w:val="28"/>
                <w:highlight w:val="none"/>
              </w:rPr>
              <w:t>注：纳入碳排放权交易市场配额管理的重点排放单位还应说明配额清缴信息。</w:t>
            </w:r>
          </w:p>
          <w:p>
            <w:pPr>
              <w:numPr>
                <w:ilvl w:val="255"/>
                <w:numId w:val="0"/>
              </w:num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w:t>
            </w:r>
            <w:r>
              <w:rPr>
                <w:rFonts w:ascii="仿宋_GB2312" w:hAnsi="仿宋_GB2312" w:eastAsia="仿宋_GB2312" w:cs="仿宋_GB2312"/>
                <w:b/>
                <w:bCs/>
                <w:sz w:val="28"/>
                <w:szCs w:val="28"/>
                <w:highlight w:val="none"/>
              </w:rPr>
              <w:t>3</w:t>
            </w:r>
            <w:r>
              <w:rPr>
                <w:rFonts w:hint="eastAsia" w:ascii="仿宋_GB2312" w:hAnsi="仿宋_GB2312" w:eastAsia="仿宋_GB2312" w:cs="仿宋_GB2312"/>
                <w:b/>
                <w:bCs/>
                <w:sz w:val="28"/>
                <w:szCs w:val="28"/>
                <w:highlight w:val="none"/>
              </w:rPr>
              <w:t>）行政处罚与司法判决：</w:t>
            </w:r>
            <w:r>
              <w:rPr>
                <w:rFonts w:hint="eastAsia" w:ascii="仿宋_GB2312" w:hAnsi="仿宋_GB2312" w:eastAsia="仿宋_GB2312" w:cs="仿宋_GB2312"/>
                <w:sz w:val="28"/>
                <w:szCs w:val="28"/>
                <w:highlight w:val="none"/>
              </w:rPr>
              <w:t>2025年，本企业共受到生态环境行政处罚</w:t>
            </w:r>
            <w:r>
              <w:rPr>
                <w:rFonts w:ascii="仿宋_GB2312" w:hAnsi="仿宋_GB2312" w:eastAsia="仿宋_GB2312" w:cs="仿宋_GB2312"/>
                <w:sz w:val="28"/>
                <w:szCs w:val="28"/>
                <w:highlight w:val="none"/>
              </w:rPr>
              <w:t>0次，累计处罚金额0万元。</w:t>
            </w:r>
            <w:r>
              <w:rPr>
                <w:rFonts w:hint="eastAsia" w:ascii="仿宋_GB2312" w:hAnsi="仿宋_GB2312" w:eastAsia="仿宋_GB2312" w:cs="仿宋_GB2312"/>
                <w:sz w:val="28"/>
                <w:szCs w:val="28"/>
                <w:highlight w:val="none"/>
              </w:rPr>
              <w:t>2025年，本企业共受到生态环境司法判决</w:t>
            </w:r>
            <w:r>
              <w:rPr>
                <w:rFonts w:ascii="仿宋_GB2312" w:hAnsi="仿宋_GB2312" w:eastAsia="仿宋_GB2312" w:cs="仿宋_GB2312"/>
                <w:sz w:val="28"/>
                <w:szCs w:val="28"/>
                <w:highlight w:val="none"/>
              </w:rPr>
              <w:t>0次，累计处罚金额0万元。</w:t>
            </w:r>
          </w:p>
        </w:tc>
      </w:tr>
    </w:tbl>
    <w:p>
      <w:pPr>
        <w:rPr>
          <w:rFonts w:hint="eastAsia"/>
          <w:highlight w:val="none"/>
        </w:rPr>
      </w:pPr>
      <w:bookmarkStart w:id="30" w:name="_Toc210058641"/>
      <w:bookmarkStart w:id="31" w:name="_Toc210058121"/>
      <w:r>
        <w:rPr>
          <w:rFonts w:hint="eastAsia"/>
          <w:highlight w:val="none"/>
        </w:rPr>
        <w:br w:type="page"/>
      </w:r>
    </w:p>
    <w:p>
      <w:pPr>
        <w:pStyle w:val="4"/>
        <w:numPr>
          <w:ilvl w:val="0"/>
          <w:numId w:val="5"/>
        </w:numPr>
        <w:rPr>
          <w:rFonts w:hint="eastAsia"/>
          <w:highlight w:val="none"/>
        </w:rPr>
      </w:pPr>
      <w:bookmarkStart w:id="32" w:name="_Toc20618"/>
      <w:bookmarkStart w:id="33" w:name="_Toc16963"/>
      <w:r>
        <w:rPr>
          <w:rFonts w:hint="eastAsia"/>
          <w:highlight w:val="none"/>
        </w:rPr>
        <w:t>承诺声明</w:t>
      </w:r>
      <w:bookmarkEnd w:id="30"/>
      <w:bookmarkEnd w:id="31"/>
      <w:bookmarkEnd w:id="32"/>
      <w:bookmarkEnd w:id="33"/>
    </w:p>
    <w:tbl>
      <w:tblPr>
        <w:tblStyle w:val="14"/>
        <w:tblpPr w:leftFromText="180" w:rightFromText="180" w:vertAnchor="text" w:horzAnchor="page" w:tblpX="1616" w:tblpY="11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44" w:type="dxa"/>
          </w:tcPr>
          <w:p>
            <w:pPr>
              <w:ind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企业负责人、环保工作负责人点击扫码签名，使用手机微信、支付宝、浏览器等“扫一扫”功能均可进行扫码。如果是由第三方填报，则需勾选最后一项【如聘请第三方服务机构】，如果是企业自行填报，则不需要勾选最后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44" w:type="dxa"/>
          </w:tcPr>
          <w:p>
            <w:pPr>
              <w:jc w:val="left"/>
              <w:rPr>
                <w:rFonts w:hint="eastAsia" w:ascii="仿宋_GB2312" w:hAnsi="仿宋_GB2312" w:eastAsia="仿宋_GB2312" w:cs="仿宋_GB2312"/>
                <w:sz w:val="28"/>
                <w:szCs w:val="28"/>
                <w:highlight w:val="none"/>
              </w:rPr>
            </w:pPr>
            <w:r>
              <w:rPr>
                <w:highlight w:val="none"/>
              </w:rPr>
              <w:drawing>
                <wp:inline distT="0" distB="0" distL="114300" distR="114300">
                  <wp:extent cx="5114925" cy="3651250"/>
                  <wp:effectExtent l="0" t="0" r="9525" b="6350"/>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29" cstate="print">
                            <a:extLst>
                              <a:ext uri="{28A0092B-C50C-407E-A947-70E740481C1C}">
                                <a14:useLocalDpi xmlns:a14="http://schemas.microsoft.com/office/drawing/2010/main" val="false"/>
                              </a:ext>
                            </a:extLst>
                          </a:blip>
                          <a:stretch>
                            <a:fillRect/>
                          </a:stretch>
                        </pic:blipFill>
                        <pic:spPr>
                          <a:xfrm>
                            <a:off x="0" y="0"/>
                            <a:ext cx="5114925" cy="3651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4" w:type="dxa"/>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本</w:t>
            </w:r>
            <w:r>
              <w:rPr>
                <w:rFonts w:ascii="仿宋_GB2312" w:hAnsi="仿宋_GB2312" w:eastAsia="仿宋_GB2312" w:cs="仿宋_GB2312"/>
                <w:sz w:val="28"/>
                <w:szCs w:val="28"/>
                <w:highlight w:val="none"/>
              </w:rPr>
              <w:t>企业负责人保证年度报告内容的真实、准确、完整，不存在虚假记载、误导性陈述或重大遗漏，并承担相应的法律责任。</w:t>
            </w:r>
          </w:p>
          <w:p>
            <w:pPr>
              <w:ind w:firstLine="560" w:firstLineChars="200"/>
              <w:jc w:val="left"/>
              <w:rPr>
                <w:rFonts w:hint="eastAsia"/>
                <w:highlight w:val="none"/>
              </w:rPr>
            </w:pPr>
            <w:r>
              <w:rPr>
                <w:rFonts w:hint="eastAsia" w:ascii="仿宋_GB2312" w:hAnsi="仿宋_GB2312" w:eastAsia="仿宋_GB2312" w:cs="仿宋_GB2312"/>
                <w:sz w:val="28"/>
                <w:szCs w:val="28"/>
                <w:highlight w:val="none"/>
              </w:rPr>
              <w:t>本企业</w:t>
            </w:r>
            <w:r>
              <w:rPr>
                <w:rFonts w:ascii="仿宋_GB2312" w:hAnsi="仿宋_GB2312" w:eastAsia="仿宋_GB2312" w:cs="仿宋_GB2312"/>
                <w:sz w:val="28"/>
                <w:szCs w:val="28"/>
                <w:highlight w:val="none"/>
              </w:rPr>
              <w:t>环保工作负责人或环保机构负责人保证年度报告中环保信息及数据的真实、准确、完整</w:t>
            </w:r>
            <w:r>
              <w:rPr>
                <w:rFonts w:hint="eastAsia" w:ascii="仿宋_GB2312" w:hAnsi="仿宋_GB2312" w:eastAsia="仿宋_GB2312" w:cs="仿宋_GB2312"/>
                <w:sz w:val="28"/>
                <w:szCs w:val="28"/>
                <w:highlight w:val="none"/>
              </w:rPr>
              <w:t>。</w:t>
            </w:r>
          </w:p>
        </w:tc>
      </w:tr>
    </w:tbl>
    <w:p>
      <w:pPr>
        <w:pStyle w:val="4"/>
        <w:numPr>
          <w:ilvl w:val="0"/>
          <w:numId w:val="5"/>
        </w:numPr>
        <w:rPr>
          <w:rFonts w:hint="eastAsia"/>
          <w:highlight w:val="none"/>
        </w:rPr>
      </w:pPr>
      <w:bookmarkStart w:id="34" w:name="_Toc8757"/>
      <w:bookmarkStart w:id="35" w:name="_Toc11747"/>
      <w:bookmarkStart w:id="36" w:name="_Toc210058642"/>
      <w:bookmarkStart w:id="37" w:name="_Toc210058122"/>
      <w:r>
        <w:rPr>
          <w:rFonts w:hint="eastAsia"/>
          <w:highlight w:val="none"/>
        </w:rPr>
        <w:t>企业基本信息</w:t>
      </w:r>
      <w:bookmarkEnd w:id="34"/>
      <w:bookmarkEnd w:id="35"/>
      <w:bookmarkEnd w:id="36"/>
      <w:bookmarkEnd w:id="37"/>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ascii="仿宋_GB2312" w:hAnsi="仿宋_GB2312" w:eastAsia="仿宋_GB2312" w:cs="仿宋_GB2312"/>
                <w:b/>
                <w:bCs/>
                <w:sz w:val="28"/>
                <w:szCs w:val="28"/>
                <w:highlight w:val="none"/>
              </w:rPr>
              <w:t>4.1企业基本信息</w:t>
            </w:r>
          </w:p>
          <w:p>
            <w:pPr>
              <w:ind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按照企业实际情况逐一填写，行业类别参考排污许可证正本或《国民经济行业分类》（</w:t>
            </w:r>
            <w:r>
              <w:rPr>
                <w:rFonts w:ascii="仿宋_GB2312" w:hAnsi="仿宋_GB2312" w:eastAsia="仿宋_GB2312" w:cs="仿宋_GB2312"/>
                <w:sz w:val="28"/>
                <w:szCs w:val="28"/>
                <w:highlight w:val="none"/>
              </w:rPr>
              <w:t>GBT4754-2017）</w:t>
            </w:r>
            <w:r>
              <w:rPr>
                <w:rFonts w:hint="eastAsia" w:ascii="仿宋_GB2312" w:hAnsi="仿宋_GB2312" w:eastAsia="仿宋_GB2312" w:cs="仿宋_GB2312"/>
                <w:sz w:val="28"/>
                <w:szCs w:val="28"/>
                <w:highlight w:val="none"/>
              </w:rPr>
              <w:t>，注意全年生产天数要按照实际情况填写。是否属于重点排污单位，是否属于强制性清洁生产审核企业需查询市生态环境局公布的相关名单进行确认。</w:t>
            </w:r>
          </w:p>
          <w:p>
            <w:pPr>
              <w:jc w:val="left"/>
              <w:rPr>
                <w:rFonts w:hint="eastAsia" w:ascii="仿宋_GB2312" w:hAnsi="仿宋_GB2312" w:eastAsia="仿宋_GB2312" w:cs="仿宋_GB2312"/>
                <w:sz w:val="28"/>
                <w:szCs w:val="28"/>
                <w:highlight w:val="none"/>
              </w:rPr>
            </w:pPr>
            <w:r>
              <w:rPr>
                <w:highlight w:val="none"/>
              </w:rPr>
              <w:drawing>
                <wp:inline distT="0" distB="0" distL="0" distR="0">
                  <wp:extent cx="5667375" cy="4076700"/>
                  <wp:effectExtent l="0" t="0" r="9525" b="0"/>
                  <wp:docPr id="1590649025"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90649025" name="图片 28"/>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5667375" cy="4076700"/>
                          </a:xfrm>
                          <a:prstGeom prst="rect">
                            <a:avLst/>
                          </a:prstGeom>
                          <a:noFill/>
                          <a:ln>
                            <a:noFill/>
                          </a:ln>
                        </pic:spPr>
                      </pic:pic>
                    </a:graphicData>
                  </a:graphic>
                </wp:inline>
              </w:drawing>
            </w:r>
          </w:p>
          <w:p>
            <w:pPr>
              <w:jc w:val="left"/>
              <w:rPr>
                <w:rFonts w:hint="eastAsia"/>
                <w:highlight w:val="none"/>
              </w:rPr>
            </w:pPr>
            <w:r>
              <w:rPr>
                <w:rFonts w:ascii="仿宋_GB2312" w:hAnsi="仿宋_GB2312" w:eastAsia="仿宋_GB2312" w:cs="仿宋_GB2312"/>
                <w:sz w:val="28"/>
                <w:szCs w:val="28"/>
                <w:highlight w:val="none"/>
              </w:rPr>
              <w:drawing>
                <wp:inline distT="0" distB="0" distL="0" distR="0">
                  <wp:extent cx="5615940" cy="2942590"/>
                  <wp:effectExtent l="0" t="0" r="3810" b="10160"/>
                  <wp:docPr id="607968662" name="图片 29" descr="图形用户界面, 文本, 应用程序, 电子邮件&#10;&#10;AI 生成的内容可能不正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7968662" name="图片 29" descr="图形用户界面, 文本, 应用程序, 电子邮件&#10;&#10;AI 生成的内容可能不正确。"/>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5615940" cy="29425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w:t>
            </w:r>
            <w:r>
              <w:rPr>
                <w:rFonts w:ascii="仿宋_GB2312" w:hAnsi="仿宋_GB2312" w:eastAsia="仿宋_GB2312" w:cs="仿宋_GB2312"/>
                <w:b/>
                <w:bCs/>
                <w:sz w:val="28"/>
                <w:szCs w:val="28"/>
                <w:highlight w:val="none"/>
              </w:rPr>
              <w:t>1</w:t>
            </w:r>
            <w:r>
              <w:rPr>
                <w:rFonts w:hint="eastAsia" w:ascii="仿宋_GB2312" w:hAnsi="仿宋_GB2312" w:eastAsia="仿宋_GB2312" w:cs="仿宋_GB2312"/>
                <w:b/>
                <w:bCs/>
                <w:sz w:val="28"/>
                <w:szCs w:val="28"/>
                <w:highlight w:val="none"/>
              </w:rPr>
              <w:t>）经度、纬度：</w:t>
            </w:r>
            <w:r>
              <w:rPr>
                <w:rFonts w:hint="eastAsia" w:ascii="仿宋_GB2312" w:hAnsi="仿宋_GB2312" w:eastAsia="仿宋_GB2312" w:cs="仿宋_GB2312"/>
                <w:sz w:val="28"/>
                <w:szCs w:val="28"/>
                <w:highlight w:val="none"/>
              </w:rPr>
              <w:t>请注意，与排污证经纬度形式不一致（例：</w:t>
            </w:r>
            <w:r>
              <w:rPr>
                <w:rFonts w:ascii="仿宋_GB2312" w:hAnsi="仿宋_GB2312" w:eastAsia="仿宋_GB2312" w:cs="仿宋_GB2312"/>
                <w:sz w:val="28"/>
                <w:szCs w:val="28"/>
                <w:highlight w:val="none"/>
              </w:rPr>
              <w:t>113.123456，22.123456），</w:t>
            </w:r>
            <w:r>
              <w:rPr>
                <w:rFonts w:hint="eastAsia" w:ascii="仿宋_GB2312" w:hAnsi="仿宋_GB2312" w:eastAsia="仿宋_GB2312" w:cs="仿宋_GB2312"/>
                <w:sz w:val="28"/>
                <w:szCs w:val="28"/>
                <w:highlight w:val="none"/>
              </w:rPr>
              <w:t>小数位最多6</w:t>
            </w:r>
            <w:r>
              <w:rPr>
                <w:rFonts w:ascii="仿宋_GB2312" w:hAnsi="仿宋_GB2312" w:eastAsia="仿宋_GB2312" w:cs="仿宋_GB2312"/>
                <w:sz w:val="28"/>
                <w:szCs w:val="28"/>
                <w:highlight w:val="none"/>
              </w:rPr>
              <w:t>位。企业可通过：①使用网页工具，将度分秒转化成对应格式；②</w:t>
            </w:r>
            <w:r>
              <w:rPr>
                <w:rFonts w:hint="eastAsia" w:ascii="仿宋_GB2312" w:hAnsi="仿宋_GB2312" w:eastAsia="仿宋_GB2312" w:cs="仿宋_GB2312"/>
                <w:sz w:val="28"/>
                <w:szCs w:val="28"/>
                <w:highlight w:val="none"/>
              </w:rPr>
              <w:t>微信小程序搜索“定位经纬度查询”工具，获取当前位置的经纬度进行填报。</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w:t>
            </w:r>
            <w:r>
              <w:rPr>
                <w:rFonts w:ascii="仿宋_GB2312" w:hAnsi="仿宋_GB2312" w:eastAsia="仿宋_GB2312" w:cs="仿宋_GB2312"/>
                <w:b/>
                <w:bCs/>
                <w:sz w:val="28"/>
                <w:szCs w:val="28"/>
                <w:highlight w:val="none"/>
              </w:rPr>
              <w:t>2</w:t>
            </w:r>
            <w:r>
              <w:rPr>
                <w:rFonts w:hint="eastAsia" w:ascii="仿宋_GB2312" w:hAnsi="仿宋_GB2312" w:eastAsia="仿宋_GB2312" w:cs="仿宋_GB2312"/>
                <w:b/>
                <w:bCs/>
                <w:sz w:val="28"/>
                <w:szCs w:val="28"/>
                <w:highlight w:val="none"/>
              </w:rPr>
              <w:t>）行业类别：</w:t>
            </w:r>
            <w:r>
              <w:rPr>
                <w:rFonts w:hint="eastAsia" w:ascii="仿宋_GB2312" w:hAnsi="仿宋_GB2312" w:eastAsia="仿宋_GB2312" w:cs="仿宋_GB2312"/>
                <w:sz w:val="28"/>
                <w:szCs w:val="28"/>
                <w:highlight w:val="none"/>
              </w:rPr>
              <w:t>填写的行业类别符合《国民经济行业分类</w:t>
            </w:r>
            <w:r>
              <w:rPr>
                <w:rFonts w:ascii="仿宋_GB2312" w:hAnsi="仿宋_GB2312" w:eastAsia="仿宋_GB2312" w:cs="仿宋_GB2312"/>
                <w:sz w:val="28"/>
                <w:szCs w:val="28"/>
                <w:highlight w:val="none"/>
              </w:rPr>
              <w:t>GB/T4754-2017》中明</w:t>
            </w:r>
            <w:r>
              <w:rPr>
                <w:rFonts w:hint="eastAsia" w:ascii="仿宋_GB2312" w:hAnsi="仿宋_GB2312" w:eastAsia="仿宋_GB2312" w:cs="仿宋_GB2312"/>
                <w:sz w:val="28"/>
                <w:szCs w:val="28"/>
                <w:highlight w:val="none"/>
              </w:rPr>
              <w:t>确的行业，可搜索选择，可参考排污证。</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w:t>
            </w:r>
            <w:r>
              <w:rPr>
                <w:rFonts w:ascii="仿宋_GB2312" w:hAnsi="仿宋_GB2312" w:eastAsia="仿宋_GB2312" w:cs="仿宋_GB2312"/>
                <w:b/>
                <w:bCs/>
                <w:sz w:val="28"/>
                <w:szCs w:val="28"/>
                <w:highlight w:val="none"/>
              </w:rPr>
              <w:t>3</w:t>
            </w:r>
            <w:r>
              <w:rPr>
                <w:rFonts w:hint="eastAsia" w:ascii="仿宋_GB2312" w:hAnsi="仿宋_GB2312" w:eastAsia="仿宋_GB2312" w:cs="仿宋_GB2312"/>
                <w:b/>
                <w:bCs/>
                <w:sz w:val="28"/>
                <w:szCs w:val="28"/>
                <w:highlight w:val="none"/>
              </w:rPr>
              <w:t>）企业性质：</w:t>
            </w:r>
            <w:r>
              <w:rPr>
                <w:rFonts w:hint="eastAsia" w:ascii="仿宋_GB2312" w:hAnsi="仿宋_GB2312" w:eastAsia="仿宋_GB2312" w:cs="仿宋_GB2312"/>
                <w:sz w:val="28"/>
                <w:szCs w:val="28"/>
                <w:highlight w:val="none"/>
              </w:rPr>
              <w:t>可选择国有企业、民营企业、外资企业、集体企业、事业单位和合资企业。</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w:t>
            </w:r>
            <w:r>
              <w:rPr>
                <w:rFonts w:ascii="仿宋_GB2312" w:hAnsi="仿宋_GB2312" w:eastAsia="仿宋_GB2312" w:cs="仿宋_GB2312"/>
                <w:b/>
                <w:bCs/>
                <w:sz w:val="28"/>
                <w:szCs w:val="28"/>
                <w:highlight w:val="none"/>
              </w:rPr>
              <w:t>4</w:t>
            </w:r>
            <w:r>
              <w:rPr>
                <w:rFonts w:hint="eastAsia" w:ascii="仿宋_GB2312" w:hAnsi="仿宋_GB2312" w:eastAsia="仿宋_GB2312" w:cs="仿宋_GB2312"/>
                <w:b/>
                <w:bCs/>
                <w:sz w:val="28"/>
                <w:szCs w:val="28"/>
                <w:highlight w:val="none"/>
              </w:rPr>
              <w:t>）全年生产天数：</w:t>
            </w:r>
            <w:r>
              <w:rPr>
                <w:rFonts w:hint="eastAsia" w:ascii="仿宋_GB2312" w:hAnsi="仿宋_GB2312" w:eastAsia="仿宋_GB2312" w:cs="仿宋_GB2312"/>
                <w:sz w:val="28"/>
                <w:szCs w:val="28"/>
                <w:highlight w:val="none"/>
              </w:rPr>
              <w:t>根据实际情况填写。右侧“＋”“—”可点击，对生产天数进行加减。</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w:t>
            </w:r>
            <w:r>
              <w:rPr>
                <w:rFonts w:ascii="仿宋_GB2312" w:hAnsi="仿宋_GB2312" w:eastAsia="仿宋_GB2312" w:cs="仿宋_GB2312"/>
                <w:b/>
                <w:bCs/>
                <w:sz w:val="28"/>
                <w:szCs w:val="28"/>
                <w:highlight w:val="none"/>
              </w:rPr>
              <w:t>5</w:t>
            </w:r>
            <w:r>
              <w:rPr>
                <w:rFonts w:hint="eastAsia" w:ascii="仿宋_GB2312" w:hAnsi="仿宋_GB2312" w:eastAsia="仿宋_GB2312" w:cs="仿宋_GB2312"/>
                <w:b/>
                <w:bCs/>
                <w:sz w:val="28"/>
                <w:szCs w:val="28"/>
                <w:highlight w:val="none"/>
              </w:rPr>
              <w:t>）是否属于重点排污单位和重点排污单位类型：</w:t>
            </w:r>
            <w:r>
              <w:rPr>
                <w:rFonts w:hint="eastAsia" w:ascii="仿宋_GB2312" w:hAnsi="仿宋_GB2312" w:eastAsia="仿宋_GB2312" w:cs="仿宋_GB2312"/>
                <w:sz w:val="28"/>
                <w:szCs w:val="28"/>
                <w:highlight w:val="none"/>
              </w:rPr>
              <w:t>依据本年度环境监管重点单位名录查询，如2025年度可通过《深圳市生态环境局关于公布深圳市</w:t>
            </w:r>
            <w:r>
              <w:rPr>
                <w:rFonts w:ascii="仿宋_GB2312" w:hAnsi="仿宋_GB2312" w:eastAsia="仿宋_GB2312" w:cs="仿宋_GB2312"/>
                <w:sz w:val="28"/>
                <w:szCs w:val="28"/>
                <w:highlight w:val="none"/>
              </w:rPr>
              <w:t>2025年环境监管重点单位名录的通知</w:t>
            </w:r>
            <w:r>
              <w:rPr>
                <w:rFonts w:hint="eastAsia" w:ascii="仿宋_GB2312" w:hAnsi="仿宋_GB2312" w:eastAsia="仿宋_GB2312" w:cs="仿宋_GB2312"/>
                <w:sz w:val="28"/>
                <w:szCs w:val="28"/>
                <w:highlight w:val="none"/>
              </w:rPr>
              <w:t>》文件查询，查询网址：</w:t>
            </w:r>
            <w:r>
              <w:rPr>
                <w:rFonts w:hint="eastAsia" w:ascii="微软雅黑" w:hAnsi="微软雅黑" w:eastAsia="微软雅黑" w:cs="微软雅黑"/>
                <w:kern w:val="0"/>
                <w:sz w:val="24"/>
                <w:szCs w:val="24"/>
                <w:highlight w:val="none"/>
              </w:rPr>
              <w:t>https://meeb.sz.gov.cn/attachment/1/1565/1565766/12103005.pdf</w:t>
            </w:r>
            <w:r>
              <w:rPr>
                <w:rFonts w:hint="eastAsia" w:ascii="仿宋_GB2312" w:hAnsi="仿宋_GB2312" w:eastAsia="仿宋_GB2312" w:cs="仿宋_GB2312"/>
                <w:sz w:val="28"/>
                <w:szCs w:val="28"/>
                <w:highlight w:val="none"/>
              </w:rPr>
              <w:t>，</w:t>
            </w:r>
            <w:bookmarkStart w:id="38" w:name="OLE_LINK5"/>
            <w:r>
              <w:rPr>
                <w:rFonts w:hint="eastAsia" w:ascii="仿宋_GB2312" w:hAnsi="仿宋_GB2312" w:eastAsia="仿宋_GB2312" w:cs="仿宋_GB2312"/>
                <w:sz w:val="28"/>
                <w:szCs w:val="28"/>
                <w:highlight w:val="none"/>
              </w:rPr>
              <w:t>也可咨询技术支撑单位。</w:t>
            </w:r>
            <w:bookmarkEnd w:id="38"/>
          </w:p>
          <w:p>
            <w:pPr>
              <w:numPr>
                <w:ilvl w:val="0"/>
                <w:numId w:val="6"/>
              </w:num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是否属于实施强制性清洁生产审核企业：</w:t>
            </w:r>
            <w:r>
              <w:rPr>
                <w:rFonts w:hint="eastAsia" w:ascii="仿宋_GB2312" w:hAnsi="仿宋_GB2312" w:eastAsia="仿宋_GB2312" w:cs="仿宋_GB2312"/>
                <w:sz w:val="28"/>
                <w:szCs w:val="28"/>
                <w:highlight w:val="none"/>
              </w:rPr>
              <w:t>依据深圳市生态环境局网站公示结果查询，如2025年已公示实施强制性清洁生产企业（第一批），可通过如下网址查询：</w:t>
            </w:r>
            <w:r>
              <w:rPr>
                <w:rFonts w:hint="eastAsia" w:ascii="微软雅黑" w:hAnsi="微软雅黑" w:eastAsia="微软雅黑" w:cs="微软雅黑"/>
                <w:kern w:val="0"/>
                <w:sz w:val="24"/>
                <w:szCs w:val="24"/>
                <w:highlight w:val="none"/>
              </w:rPr>
              <w:t>https://view.officeapps.live.com/op/view.aspx?src=https%3A%2F%2Fmeeb.sz.gov.cn%2Fattachment%2F1%2F1561%2F1561840%2F12083666.xlsx&amp;wdOrigin=BROWSELINK</w:t>
            </w:r>
            <w:r>
              <w:rPr>
                <w:rFonts w:hint="eastAsia" w:ascii="仿宋_GB2312" w:hAnsi="仿宋_GB2312" w:eastAsia="仿宋_GB2312" w:cs="仿宋_GB2312"/>
                <w:sz w:val="28"/>
                <w:szCs w:val="28"/>
                <w:highlight w:val="none"/>
              </w:rPr>
              <w:t>，也可咨询技术支撑单位。</w:t>
            </w:r>
          </w:p>
          <w:p>
            <w:pPr>
              <w:numPr>
                <w:ilvl w:val="0"/>
                <w:numId w:val="6"/>
              </w:num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是否属于纳入碳排放权交易市场配额管理的温室气体重点排放单位：</w:t>
            </w:r>
            <w:r>
              <w:rPr>
                <w:rFonts w:hint="eastAsia" w:ascii="仿宋_GB2312" w:hAnsi="仿宋_GB2312" w:eastAsia="仿宋_GB2312" w:cs="仿宋_GB2312"/>
                <w:sz w:val="28"/>
                <w:szCs w:val="28"/>
                <w:highlight w:val="none"/>
              </w:rPr>
              <w:t>可选项，选择“是/否”，</w:t>
            </w:r>
            <w:bookmarkStart w:id="39" w:name="OLE_LINK1"/>
            <w:r>
              <w:rPr>
                <w:rFonts w:hint="eastAsia" w:ascii="仿宋_GB2312" w:hAnsi="仿宋_GB2312" w:eastAsia="仿宋_GB2312" w:cs="仿宋_GB2312"/>
                <w:sz w:val="28"/>
                <w:szCs w:val="28"/>
                <w:highlight w:val="none"/>
              </w:rPr>
              <w:t>可通过深圳市生态环境局网站公示结果查询，如2024年度深圳市碳市场重点排放单位名单查询网址如下：https://meeb.sz.gov.cn/xxgk/qt/tzgg/content/post_12068827.html，也可电话咨询技术支撑单位。</w:t>
            </w:r>
          </w:p>
          <w:bookmarkEnd w:id="39"/>
          <w:p>
            <w:pPr>
              <w:numPr>
                <w:ilvl w:val="0"/>
                <w:numId w:val="6"/>
              </w:num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是否属于上市公司：</w:t>
            </w:r>
            <w:r>
              <w:rPr>
                <w:rFonts w:hint="eastAsia" w:ascii="仿宋_GB2312" w:hAnsi="仿宋_GB2312" w:eastAsia="仿宋_GB2312" w:cs="仿宋_GB2312"/>
                <w:sz w:val="28"/>
                <w:szCs w:val="28"/>
                <w:highlight w:val="none"/>
              </w:rPr>
              <w:t>需注意，此处包含上市公司及合并报表范围内的各级子公司。</w:t>
            </w:r>
          </w:p>
          <w:p>
            <w:pPr>
              <w:numPr>
                <w:ilvl w:val="0"/>
                <w:numId w:val="6"/>
              </w:num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是否属于发债企业：</w:t>
            </w:r>
            <w:r>
              <w:rPr>
                <w:rFonts w:hint="eastAsia" w:ascii="仿宋_GB2312" w:hAnsi="仿宋_GB2312" w:eastAsia="仿宋_GB2312" w:cs="仿宋_GB2312"/>
                <w:sz w:val="28"/>
                <w:szCs w:val="28"/>
                <w:highlight w:val="none"/>
              </w:rPr>
              <w:t>发债企业指发行企业债券、公司债券、非金融企业债务融资工具的企业。</w:t>
            </w:r>
          </w:p>
          <w:p>
            <w:pPr>
              <w:numPr>
                <w:ilvl w:val="0"/>
                <w:numId w:val="6"/>
              </w:num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发债类型：</w:t>
            </w:r>
            <w:r>
              <w:rPr>
                <w:rFonts w:hint="eastAsia" w:ascii="仿宋_GB2312" w:hAnsi="仿宋_GB2312" w:eastAsia="仿宋_GB2312" w:cs="仿宋_GB2312"/>
                <w:sz w:val="28"/>
                <w:szCs w:val="28"/>
                <w:highlight w:val="none"/>
              </w:rPr>
              <w:t>选择项，可选择“企业债券”“公司债券”和“非金融企业债务融资工具的企业”。</w:t>
            </w:r>
          </w:p>
          <w:p>
            <w:pPr>
              <w:numPr>
                <w:ilvl w:val="0"/>
                <w:numId w:val="6"/>
              </w:num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固定源编码：</w:t>
            </w:r>
            <w:r>
              <w:rPr>
                <w:rFonts w:hint="eastAsia" w:ascii="仿宋_GB2312" w:hAnsi="仿宋_GB2312" w:eastAsia="仿宋_GB2312" w:cs="仿宋_GB2312"/>
                <w:sz w:val="28"/>
                <w:szCs w:val="28"/>
                <w:highlight w:val="none"/>
              </w:rPr>
              <w:t>广东省固定源系统已停用，固定源编码可填写排污许可证编码或者不填。</w:t>
            </w:r>
          </w:p>
          <w:p>
            <w:pPr>
              <w:numPr>
                <w:ilvl w:val="0"/>
                <w:numId w:val="6"/>
              </w:num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排污许可证编码：</w:t>
            </w:r>
            <w:r>
              <w:rPr>
                <w:rFonts w:hint="eastAsia" w:ascii="仿宋_GB2312" w:hAnsi="仿宋_GB2312" w:eastAsia="仿宋_GB2312" w:cs="仿宋_GB2312"/>
                <w:sz w:val="28"/>
                <w:szCs w:val="28"/>
                <w:highlight w:val="none"/>
              </w:rPr>
              <w:t>排污许可证编码。</w:t>
            </w:r>
          </w:p>
          <w:p>
            <w:pPr>
              <w:numPr>
                <w:ilvl w:val="0"/>
                <w:numId w:val="6"/>
              </w:numPr>
              <w:ind w:firstLine="562" w:firstLineChars="200"/>
              <w:jc w:val="left"/>
              <w:rPr>
                <w:rFonts w:hint="eastAsia" w:ascii="仿宋_GB2312" w:hAnsi="仿宋_GB2312" w:eastAsia="仿宋_GB2312" w:cs="仿宋_GB2312"/>
                <w:sz w:val="28"/>
                <w:szCs w:val="28"/>
                <w:highlight w:val="none"/>
              </w:rPr>
            </w:pPr>
            <w:bookmarkStart w:id="40" w:name="_Toc210058123"/>
            <w:r>
              <w:rPr>
                <w:rFonts w:hint="eastAsia" w:ascii="仿宋_GB2312" w:hAnsi="仿宋_GB2312" w:eastAsia="仿宋_GB2312" w:cs="仿宋_GB2312"/>
                <w:b/>
                <w:bCs/>
                <w:sz w:val="28"/>
                <w:szCs w:val="28"/>
                <w:highlight w:val="none"/>
              </w:rPr>
              <w:t>强制披露原因：</w:t>
            </w:r>
            <w:r>
              <w:rPr>
                <w:rFonts w:hint="eastAsia" w:ascii="仿宋_GB2312" w:hAnsi="仿宋_GB2312" w:eastAsia="仿宋_GB2312" w:cs="仿宋_GB2312"/>
                <w:sz w:val="28"/>
                <w:szCs w:val="28"/>
                <w:highlight w:val="none"/>
              </w:rPr>
              <w:t>可通过深圳市生态环境局网站公示结果查询披露原因，如实填写。如2025年度深圳市环境信息依法披露企业名单可通过如下网址查询：</w:t>
            </w:r>
            <w:r>
              <w:rPr>
                <w:highlight w:val="none"/>
              </w:rPr>
              <w:fldChar w:fldCharType="begin"/>
            </w:r>
            <w:r>
              <w:rPr>
                <w:highlight w:val="none"/>
              </w:rPr>
              <w:instrText xml:space="preserve"> HYPERLINK "https://view.officeapps.live.com/op/view.aspx?src=https%3A%2F%2Fmeeb.sz.gov.cn%2Fattachment%2F1%2F1574%2F1574853%2F12145445.xlsx&amp;wdOrigin=BROWSELINK" </w:instrText>
            </w:r>
            <w:r>
              <w:rPr>
                <w:highlight w:val="none"/>
              </w:rPr>
              <w:fldChar w:fldCharType="separate"/>
            </w:r>
            <w:r>
              <w:rPr>
                <w:rFonts w:hint="eastAsia" w:ascii="微软雅黑" w:hAnsi="微软雅黑" w:eastAsia="微软雅黑" w:cs="微软雅黑"/>
                <w:kern w:val="0"/>
                <w:sz w:val="24"/>
                <w:szCs w:val="24"/>
                <w:highlight w:val="none"/>
              </w:rPr>
              <w:t>https://view.officeapps.live.com/op/view.aspx?src=https%3A%2F%2Fmeeb.sz.gov.cn%2Fattachment%2F1%2F1574%2F1574853%2F12145445.xlsx&amp;wdOrigin=BROWSELINK</w:t>
            </w:r>
            <w:r>
              <w:rPr>
                <w:rFonts w:hint="eastAsia" w:ascii="微软雅黑" w:hAnsi="微软雅黑" w:eastAsia="微软雅黑" w:cs="微软雅黑"/>
                <w:kern w:val="0"/>
                <w:sz w:val="24"/>
                <w:szCs w:val="24"/>
                <w:highlight w:val="none"/>
              </w:rPr>
              <w:fldChar w:fldCharType="end"/>
            </w:r>
            <w:r>
              <w:rPr>
                <w:rFonts w:hint="eastAsia" w:ascii="仿宋_GB2312" w:hAnsi="仿宋_GB2312" w:eastAsia="仿宋_GB2312" w:cs="仿宋_GB2312"/>
                <w:sz w:val="28"/>
                <w:szCs w:val="28"/>
                <w:highlight w:val="none"/>
              </w:rPr>
              <w:t>，也可电话咨询技术支撑单位。</w:t>
            </w:r>
            <w:bookmarkEnd w:id="4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7" w:hRule="atLeast"/>
        </w:trPr>
        <w:tc>
          <w:tcPr>
            <w:tcW w:w="8834"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ascii="仿宋_GB2312" w:hAnsi="仿宋_GB2312" w:eastAsia="仿宋_GB2312" w:cs="仿宋_GB2312"/>
                <w:b/>
                <w:bCs/>
                <w:sz w:val="28"/>
                <w:szCs w:val="28"/>
                <w:highlight w:val="none"/>
              </w:rPr>
              <w:t>4.2生产工艺信息</w:t>
            </w:r>
          </w:p>
          <w:p>
            <w:pPr>
              <w:numPr>
                <w:ilvl w:val="255"/>
                <w:numId w:val="0"/>
              </w:numPr>
              <w:ind w:firstLine="560" w:firstLineChars="200"/>
              <w:jc w:val="left"/>
              <w:rPr>
                <w:rFonts w:hint="eastAsia"/>
                <w:highlight w:val="none"/>
              </w:rPr>
            </w:pPr>
            <w:r>
              <w:rPr>
                <w:rFonts w:hint="eastAsia" w:ascii="仿宋_GB2312" w:hAnsi="仿宋_GB2312" w:eastAsia="仿宋_GB2312" w:cs="仿宋_GB2312"/>
                <w:sz w:val="28"/>
                <w:szCs w:val="28"/>
                <w:highlight w:val="none"/>
              </w:rPr>
              <w:t>参照示例格式填写,注意上传工艺流程图。列出主要的工艺名称与生产设备即可，无须将所有的产品、服务、工艺流程都一一列出。生产工艺文件及工艺流程图可从环评报告文件获取。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7" w:hRule="atLeast"/>
        </w:trPr>
        <w:tc>
          <w:tcPr>
            <w:tcW w:w="8834" w:type="dxa"/>
            <w:tcBorders>
              <w:tl2br w:val="nil"/>
              <w:tr2bl w:val="nil"/>
            </w:tcBorders>
          </w:tcPr>
          <w:p>
            <w:pPr>
              <w:jc w:val="left"/>
              <w:rPr>
                <w:rFonts w:hint="eastAsia" w:ascii="仿宋_GB2312" w:hAnsi="仿宋_GB2312" w:eastAsia="仿宋_GB2312" w:cs="仿宋_GB2312"/>
                <w:sz w:val="28"/>
                <w:szCs w:val="28"/>
                <w:highlight w:val="none"/>
              </w:rPr>
            </w:pPr>
            <w:r>
              <w:rPr>
                <w:rFonts w:hint="eastAsia" w:eastAsia="黑体"/>
                <w:highlight w:val="none"/>
              </w:rPr>
              <w:drawing>
                <wp:inline distT="0" distB="0" distL="114300" distR="114300">
                  <wp:extent cx="5654040" cy="3395980"/>
                  <wp:effectExtent l="0" t="0" r="3810" b="13970"/>
                  <wp:docPr id="22" name="图片 22" descr="5d3f147a7cd836d42178cedf7cfc9a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5d3f147a7cd836d42178cedf7cfc9a71"/>
                          <pic:cNvPicPr>
                            <a:picLocks noChangeAspect="true"/>
                          </pic:cNvPicPr>
                        </pic:nvPicPr>
                        <pic:blipFill>
                          <a:blip r:embed="rId32"/>
                          <a:stretch>
                            <a:fillRect/>
                          </a:stretch>
                        </pic:blipFill>
                        <pic:spPr>
                          <a:xfrm>
                            <a:off x="0" y="0"/>
                            <a:ext cx="5654040" cy="33959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7" w:hRule="atLeast"/>
        </w:trPr>
        <w:tc>
          <w:tcPr>
            <w:tcW w:w="8834" w:type="dxa"/>
            <w:tcBorders>
              <w:tl2br w:val="nil"/>
              <w:tr2bl w:val="nil"/>
            </w:tcBorders>
          </w:tcPr>
          <w:p>
            <w:pPr>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inline distT="0" distB="0" distL="114300" distR="114300">
                  <wp:extent cx="5382260" cy="2674620"/>
                  <wp:effectExtent l="0" t="0" r="8890" b="11430"/>
                  <wp:docPr id="24" name="图片 24" descr="ab4e44e7d065b977840c371d5b7778d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ab4e44e7d065b977840c371d5b7778d9"/>
                          <pic:cNvPicPr>
                            <a:picLocks noChangeAspect="true"/>
                          </pic:cNvPicPr>
                        </pic:nvPicPr>
                        <pic:blipFill>
                          <a:blip r:embed="rId33"/>
                          <a:stretch>
                            <a:fillRect/>
                          </a:stretch>
                        </pic:blipFill>
                        <pic:spPr>
                          <a:xfrm>
                            <a:off x="0" y="0"/>
                            <a:ext cx="5382260" cy="26746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8834"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（1）生产工艺信息概述：</w:t>
            </w:r>
            <w:r>
              <w:rPr>
                <w:rFonts w:hint="eastAsia" w:ascii="仿宋_GB2312" w:hAnsi="仿宋_GB2312" w:eastAsia="仿宋_GB2312" w:cs="仿宋_GB2312"/>
                <w:sz w:val="28"/>
                <w:szCs w:val="28"/>
                <w:highlight w:val="none"/>
              </w:rPr>
              <w:t>描述企业的主要的产品与工艺。例：“本企业现有主要产品</w:t>
            </w:r>
            <w:r>
              <w:rPr>
                <w:rFonts w:ascii="仿宋_GB2312" w:hAnsi="仿宋_GB2312" w:eastAsia="仿宋_GB2312" w:cs="仿宋_GB2312"/>
                <w:sz w:val="28"/>
                <w:szCs w:val="28"/>
                <w:highlight w:val="none"/>
              </w:rPr>
              <w:t>1种，提供主要服务0种，主要工艺5种。产品、工艺和设备属于产业和环保</w:t>
            </w:r>
            <w:r>
              <w:rPr>
                <w:rFonts w:hint="eastAsia" w:ascii="仿宋_GB2312" w:hAnsi="仿宋_GB2312" w:eastAsia="仿宋_GB2312" w:cs="仿宋_GB2312"/>
                <w:sz w:val="28"/>
                <w:szCs w:val="28"/>
                <w:highlight w:val="none"/>
              </w:rPr>
              <w:t>等相关政策淘汰类、限制类的</w:t>
            </w:r>
            <w:r>
              <w:rPr>
                <w:rFonts w:ascii="仿宋_GB2312" w:hAnsi="仿宋_GB2312" w:eastAsia="仿宋_GB2312" w:cs="仿宋_GB2312"/>
                <w:sz w:val="28"/>
                <w:szCs w:val="28"/>
                <w:highlight w:val="none"/>
              </w:rPr>
              <w:t>0种，属于鼓励类的0种。”</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（2）产品与服务简介：</w:t>
            </w:r>
            <w:r>
              <w:rPr>
                <w:rFonts w:hint="eastAsia" w:ascii="仿宋_GB2312" w:hAnsi="仿宋_GB2312" w:eastAsia="仿宋_GB2312" w:cs="仿宋_GB2312"/>
                <w:sz w:val="28"/>
                <w:szCs w:val="28"/>
                <w:highlight w:val="none"/>
              </w:rPr>
              <w:t>可根据企业营业执照的经营范围填写。</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（3）生产工艺流程图：</w:t>
            </w:r>
            <w:r>
              <w:rPr>
                <w:rFonts w:hint="eastAsia" w:ascii="仿宋_GB2312" w:hAnsi="仿宋_GB2312" w:eastAsia="仿宋_GB2312" w:cs="仿宋_GB2312"/>
                <w:sz w:val="28"/>
                <w:szCs w:val="28"/>
                <w:highlight w:val="none"/>
              </w:rPr>
              <w:t>可多张上传。注意：如遇到上传不成功，请查看图片像素是否符合要求，若不符合请使用画图软件修改高度像素为</w:t>
            </w:r>
            <w:r>
              <w:rPr>
                <w:rFonts w:ascii="仿宋_GB2312" w:hAnsi="仿宋_GB2312" w:eastAsia="仿宋_GB2312" w:cs="仿宋_GB2312"/>
                <w:sz w:val="28"/>
                <w:szCs w:val="28"/>
                <w:highlight w:val="none"/>
              </w:rPr>
              <w:t>920以下。</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（4）主要生产设备清单：</w:t>
            </w:r>
            <w:r>
              <w:rPr>
                <w:rFonts w:hint="eastAsia" w:ascii="仿宋_GB2312" w:hAnsi="仿宋_GB2312" w:eastAsia="仿宋_GB2312" w:cs="仿宋_GB2312"/>
                <w:sz w:val="28"/>
                <w:szCs w:val="28"/>
                <w:highlight w:val="none"/>
              </w:rPr>
              <w:t>填写生产过程中主要的生产设备。</w:t>
            </w:r>
          </w:p>
          <w:p>
            <w:pPr>
              <w:ind w:firstLine="562" w:firstLineChars="200"/>
              <w:jc w:val="left"/>
              <w:rPr>
                <w:rFonts w:hint="eastAsia" w:ascii="仿宋_GB2312" w:hAnsi="仿宋_GB2312" w:eastAsia="仿宋_GB2312" w:cs="仿宋_GB2312"/>
                <w:b/>
                <w:bCs/>
                <w:sz w:val="28"/>
                <w:szCs w:val="28"/>
                <w:highlight w:val="none"/>
              </w:rPr>
            </w:pPr>
            <w:bookmarkStart w:id="41" w:name="OLE_LINK2"/>
            <w:r>
              <w:rPr>
                <w:rFonts w:hint="eastAsia" w:ascii="仿宋_GB2312" w:hAnsi="仿宋_GB2312" w:eastAsia="仿宋_GB2312" w:cs="仿宋_GB2312"/>
                <w:b/>
                <w:bCs/>
                <w:sz w:val="28"/>
                <w:szCs w:val="28"/>
                <w:highlight w:val="none"/>
              </w:rPr>
              <w:t>（5）</w:t>
            </w:r>
            <w:bookmarkEnd w:id="41"/>
            <w:r>
              <w:rPr>
                <w:rFonts w:hint="eastAsia" w:ascii="仿宋_GB2312" w:hAnsi="仿宋_GB2312" w:eastAsia="仿宋_GB2312" w:cs="仿宋_GB2312"/>
                <w:b/>
                <w:bCs/>
                <w:sz w:val="28"/>
                <w:szCs w:val="28"/>
                <w:highlight w:val="none"/>
              </w:rPr>
              <w:t>工艺名称：</w:t>
            </w:r>
            <w:r>
              <w:rPr>
                <w:rFonts w:hint="eastAsia" w:ascii="仿宋_GB2312" w:hAnsi="仿宋_GB2312" w:eastAsia="仿宋_GB2312" w:cs="仿宋_GB2312"/>
                <w:sz w:val="28"/>
                <w:szCs w:val="28"/>
                <w:highlight w:val="none"/>
              </w:rPr>
              <w:t>填写主要生产工艺（尤其是有产污环节的工艺）。</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（6）工艺类别：</w:t>
            </w:r>
            <w:r>
              <w:rPr>
                <w:rFonts w:hint="eastAsia" w:ascii="仿宋_GB2312" w:hAnsi="仿宋_GB2312" w:eastAsia="仿宋_GB2312" w:cs="仿宋_GB2312"/>
                <w:sz w:val="28"/>
                <w:szCs w:val="28"/>
                <w:highlight w:val="none"/>
              </w:rPr>
              <w:t>选择项，选填“鼓励类”“限制类”“淘汰类”“允许类”“其它”。</w:t>
            </w:r>
            <w:r>
              <w:rPr>
                <w:rFonts w:hint="eastAsia" w:ascii="仿宋_GB2312" w:hAnsi="仿宋_GB2312" w:eastAsia="仿宋_GB2312" w:cs="仿宋_GB2312"/>
                <w:b/>
                <w:bCs/>
                <w:color w:val="EE0000"/>
                <w:sz w:val="28"/>
                <w:szCs w:val="28"/>
                <w:highlight w:val="none"/>
              </w:rPr>
              <w:t>参考目录见注释中相关参考文件。</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（7）文件年份：</w:t>
            </w:r>
            <w:r>
              <w:rPr>
                <w:rFonts w:hint="eastAsia" w:ascii="仿宋_GB2312" w:hAnsi="仿宋_GB2312" w:eastAsia="仿宋_GB2312" w:cs="仿宋_GB2312"/>
                <w:sz w:val="28"/>
                <w:szCs w:val="28"/>
                <w:highlight w:val="none"/>
              </w:rPr>
              <w:t>填报参考文件的年份。</w:t>
            </w:r>
          </w:p>
        </w:tc>
      </w:tr>
    </w:tbl>
    <w:p>
      <w:pPr>
        <w:rPr>
          <w:rFonts w:hint="eastAsia"/>
          <w:highlight w:val="none"/>
        </w:rPr>
      </w:pPr>
      <w:r>
        <w:rPr>
          <w:rFonts w:hint="eastAsia"/>
          <w:highlight w:val="none"/>
        </w:rPr>
        <w:br w:type="page"/>
      </w:r>
    </w:p>
    <w:p>
      <w:pPr>
        <w:pStyle w:val="4"/>
        <w:numPr>
          <w:ilvl w:val="0"/>
          <w:numId w:val="5"/>
        </w:numPr>
        <w:rPr>
          <w:rFonts w:hint="eastAsia"/>
          <w:highlight w:val="none"/>
        </w:rPr>
      </w:pPr>
      <w:bookmarkStart w:id="42" w:name="_Toc30404"/>
      <w:bookmarkStart w:id="43" w:name="_Toc26243"/>
      <w:r>
        <w:rPr>
          <w:rFonts w:hint="eastAsia"/>
          <w:highlight w:val="none"/>
        </w:rPr>
        <w:t>企业环境管理信息</w:t>
      </w:r>
      <w:bookmarkEnd w:id="42"/>
      <w:bookmarkEnd w:id="43"/>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ascii="仿宋_GB2312" w:hAnsi="仿宋_GB2312" w:eastAsia="仿宋_GB2312" w:cs="仿宋_GB2312"/>
                <w:b/>
                <w:bCs/>
                <w:sz w:val="28"/>
                <w:szCs w:val="28"/>
                <w:highlight w:val="none"/>
              </w:rPr>
              <w:t>5.1企业生态环境行政许可信息</w:t>
            </w:r>
          </w:p>
          <w:p>
            <w:pPr>
              <w:ind w:firstLine="560" w:firstLineChars="200"/>
              <w:rPr>
                <w:rFonts w:hint="eastAsia"/>
                <w:highlight w:val="none"/>
              </w:rPr>
            </w:pPr>
            <w:r>
              <w:rPr>
                <w:rFonts w:hint="eastAsia" w:ascii="仿宋_GB2312" w:hAnsi="仿宋_GB2312" w:eastAsia="仿宋_GB2312" w:cs="仿宋_GB2312"/>
                <w:sz w:val="28"/>
                <w:szCs w:val="28"/>
                <w:highlight w:val="none"/>
              </w:rPr>
              <w:t>参考工作指引附件4，注意切勿漏填行政许可文件。环评批复、排污许可证等许可内容很多，可填写主要许可事项，把最主要的要求、标准或数据披露出来。如环评批复可填写废水、废气、噪声的执行标准等。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Borders>
              <w:tl2br w:val="nil"/>
              <w:tr2bl w:val="nil"/>
            </w:tcBorders>
          </w:tcPr>
          <w:p>
            <w:pPr>
              <w:rPr>
                <w:rFonts w:hint="eastAsia"/>
                <w:highlight w:val="none"/>
              </w:rPr>
            </w:pPr>
            <w:bookmarkStart w:id="44" w:name="_Toc210058125"/>
            <w:r>
              <w:rPr>
                <w:highlight w:val="none"/>
              </w:rPr>
              <w:drawing>
                <wp:inline distT="0" distB="0" distL="0" distR="0">
                  <wp:extent cx="5615940" cy="1824355"/>
                  <wp:effectExtent l="0" t="0" r="3810" b="4445"/>
                  <wp:docPr id="1728198734"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28198734" name="图片 30"/>
                          <pic:cNvPicPr>
                            <a:picLocks noChangeAspect="true" noChangeArrowheads="true"/>
                          </pic:cNvPicPr>
                        </pic:nvPicPr>
                        <pic:blipFill>
                          <a:blip r:embed="rId34">
                            <a:extLst>
                              <a:ext uri="{28A0092B-C50C-407E-A947-70E740481C1C}">
                                <a14:useLocalDpi xmlns:a14="http://schemas.microsoft.com/office/drawing/2010/main" val="false"/>
                              </a:ext>
                            </a:extLst>
                          </a:blip>
                          <a:srcRect/>
                          <a:stretch>
                            <a:fillRect/>
                          </a:stretch>
                        </pic:blipFill>
                        <pic:spPr>
                          <a:xfrm>
                            <a:off x="0" y="0"/>
                            <a:ext cx="5615940" cy="1824355"/>
                          </a:xfrm>
                          <a:prstGeom prst="rect">
                            <a:avLst/>
                          </a:prstGeom>
                          <a:noFill/>
                          <a:ln>
                            <a:noFill/>
                          </a:ln>
                        </pic:spPr>
                      </pic:pic>
                    </a:graphicData>
                  </a:graphic>
                </wp:inline>
              </w:drawing>
            </w:r>
            <w:bookmarkEnd w:id="4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（1）许可名称：</w:t>
            </w:r>
            <w:r>
              <w:rPr>
                <w:rFonts w:hint="eastAsia" w:ascii="仿宋_GB2312" w:hAnsi="仿宋_GB2312" w:eastAsia="仿宋_GB2312" w:cs="仿宋_GB2312"/>
                <w:sz w:val="28"/>
                <w:szCs w:val="28"/>
                <w:highlight w:val="none"/>
              </w:rPr>
              <w:t>填报许可全称，环境行政许可事项种类详见附件4。</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（2）许可编号：</w:t>
            </w:r>
            <w:r>
              <w:rPr>
                <w:rFonts w:hint="eastAsia" w:ascii="仿宋_GB2312" w:hAnsi="仿宋_GB2312" w:eastAsia="仿宋_GB2312" w:cs="仿宋_GB2312"/>
                <w:sz w:val="28"/>
                <w:szCs w:val="28"/>
                <w:highlight w:val="none"/>
              </w:rPr>
              <w:t>填报许可编号，若无许可编号，填“</w:t>
            </w:r>
            <w:r>
              <w:rPr>
                <w:rFonts w:ascii="仿宋_GB2312" w:hAnsi="仿宋_GB2312" w:eastAsia="仿宋_GB2312" w:cs="仿宋_GB2312"/>
                <w:sz w:val="28"/>
                <w:szCs w:val="28"/>
                <w:highlight w:val="none"/>
              </w:rPr>
              <w:t>/”。</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（3）审批文件：</w:t>
            </w:r>
            <w:r>
              <w:rPr>
                <w:rFonts w:hint="eastAsia" w:ascii="仿宋_GB2312" w:hAnsi="仿宋_GB2312" w:eastAsia="仿宋_GB2312" w:cs="仿宋_GB2312"/>
                <w:sz w:val="28"/>
                <w:szCs w:val="28"/>
                <w:highlight w:val="none"/>
              </w:rPr>
              <w:t>填报许可审批文件。</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（4）核发机关：</w:t>
            </w:r>
            <w:r>
              <w:rPr>
                <w:rFonts w:hint="eastAsia" w:ascii="仿宋_GB2312" w:hAnsi="仿宋_GB2312" w:eastAsia="仿宋_GB2312" w:cs="仿宋_GB2312"/>
                <w:sz w:val="28"/>
                <w:szCs w:val="28"/>
                <w:highlight w:val="none"/>
              </w:rPr>
              <w:t>填报许可核发机关。</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（5）获得时间：</w:t>
            </w:r>
            <w:r>
              <w:rPr>
                <w:rFonts w:hint="eastAsia" w:ascii="仿宋_GB2312" w:hAnsi="仿宋_GB2312" w:eastAsia="仿宋_GB2312" w:cs="仿宋_GB2312"/>
                <w:sz w:val="28"/>
                <w:szCs w:val="28"/>
                <w:highlight w:val="none"/>
              </w:rPr>
              <w:t>填报许可获得时间。</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（6）有效期限：</w:t>
            </w:r>
            <w:r>
              <w:rPr>
                <w:rFonts w:hint="eastAsia" w:ascii="仿宋_GB2312" w:hAnsi="仿宋_GB2312" w:eastAsia="仿宋_GB2312" w:cs="仿宋_GB2312"/>
                <w:sz w:val="28"/>
                <w:szCs w:val="28"/>
                <w:highlight w:val="none"/>
              </w:rPr>
              <w:t>填报许可有效期限，若无有效期限填报“</w:t>
            </w:r>
            <w:r>
              <w:rPr>
                <w:rFonts w:ascii="仿宋_GB2312" w:hAnsi="仿宋_GB2312" w:eastAsia="仿宋_GB2312" w:cs="仿宋_GB2312"/>
                <w:sz w:val="28"/>
                <w:szCs w:val="28"/>
                <w:highlight w:val="none"/>
              </w:rPr>
              <w:t>2099-01-0100:00:00”。</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（7）许可类别：</w:t>
            </w:r>
            <w:r>
              <w:rPr>
                <w:rFonts w:hint="eastAsia" w:ascii="仿宋_GB2312" w:hAnsi="仿宋_GB2312" w:eastAsia="仿宋_GB2312" w:cs="仿宋_GB2312"/>
                <w:sz w:val="28"/>
                <w:szCs w:val="28"/>
                <w:highlight w:val="none"/>
              </w:rPr>
              <w:t>填报许可类别。</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（8）管理要求：</w:t>
            </w:r>
            <w:r>
              <w:rPr>
                <w:rFonts w:hint="eastAsia" w:ascii="仿宋_GB2312" w:hAnsi="仿宋_GB2312" w:eastAsia="仿宋_GB2312" w:cs="仿宋_GB2312"/>
                <w:sz w:val="28"/>
                <w:szCs w:val="28"/>
                <w:highlight w:val="none"/>
              </w:rPr>
              <w:t>填报许可管理要求。</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（9）申请状态：</w:t>
            </w:r>
            <w:r>
              <w:rPr>
                <w:rFonts w:hint="eastAsia" w:ascii="仿宋_GB2312" w:hAnsi="仿宋_GB2312" w:eastAsia="仿宋_GB2312" w:cs="仿宋_GB2312"/>
                <w:sz w:val="28"/>
                <w:szCs w:val="28"/>
                <w:highlight w:val="none"/>
              </w:rPr>
              <w:t>选择项，可选择“新获得”“变更”“延续”“撤销”“正在申请”。</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（10）许可事项：</w:t>
            </w:r>
            <w:r>
              <w:rPr>
                <w:rFonts w:hint="eastAsia" w:ascii="仿宋_GB2312" w:hAnsi="仿宋_GB2312" w:eastAsia="仿宋_GB2312" w:cs="仿宋_GB2312"/>
                <w:sz w:val="28"/>
                <w:szCs w:val="28"/>
                <w:highlight w:val="none"/>
              </w:rPr>
              <w:t>此处需要先填写上传文件名称，保存后方可上传附件。</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（12）许可事项附件：</w:t>
            </w:r>
            <w:r>
              <w:rPr>
                <w:rFonts w:hint="eastAsia" w:ascii="仿宋_GB2312" w:hAnsi="仿宋_GB2312" w:eastAsia="仿宋_GB2312" w:cs="仿宋_GB2312"/>
                <w:sz w:val="28"/>
                <w:szCs w:val="28"/>
                <w:highlight w:val="none"/>
              </w:rPr>
              <w:t>上传许可文件，可上传多个附件。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060"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5.2环境保护税缴纳信息</w:t>
            </w:r>
          </w:p>
          <w:p>
            <w:pPr>
              <w:ind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填写时需咨询公司财务部门相关负责人员，按照实际缴纳的纳税凭证来填写。如无需缴纳则在文本框中说明即可。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Borders>
              <w:tl2br w:val="nil"/>
              <w:tr2bl w:val="nil"/>
            </w:tcBorders>
          </w:tcPr>
          <w:p>
            <w:pPr>
              <w:jc w:val="left"/>
              <w:rPr>
                <w:rFonts w:hint="eastAsia" w:ascii="仿宋_GB2312" w:hAnsi="仿宋_GB2312" w:eastAsia="仿宋_GB2312" w:cs="仿宋_GB2312"/>
                <w:b/>
                <w:bCs/>
                <w:sz w:val="28"/>
                <w:szCs w:val="28"/>
                <w:highlight w:val="none"/>
              </w:rPr>
            </w:pPr>
            <w:r>
              <w:rPr>
                <w:rFonts w:ascii="仿宋_GB2312" w:hAnsi="仿宋_GB2312" w:eastAsia="仿宋_GB2312" w:cs="仿宋_GB2312"/>
                <w:b/>
                <w:bCs/>
                <w:sz w:val="28"/>
                <w:szCs w:val="28"/>
                <w:highlight w:val="none"/>
              </w:rPr>
              <w:drawing>
                <wp:inline distT="0" distB="0" distL="0" distR="0">
                  <wp:extent cx="5615940" cy="2663825"/>
                  <wp:effectExtent l="0" t="0" r="3810" b="3175"/>
                  <wp:docPr id="1625689371"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25689371" name="图片 33"/>
                          <pic:cNvPicPr>
                            <a:picLocks noChangeAspect="true" noChangeArrowheads="true"/>
                          </pic:cNvPicPr>
                        </pic:nvPicPr>
                        <pic:blipFill>
                          <a:blip r:embed="rId35">
                            <a:extLst>
                              <a:ext uri="{28A0092B-C50C-407E-A947-70E740481C1C}">
                                <a14:useLocalDpi xmlns:a14="http://schemas.microsoft.com/office/drawing/2010/main" val="false"/>
                              </a:ext>
                            </a:extLst>
                          </a:blip>
                          <a:srcRect/>
                          <a:stretch>
                            <a:fillRect/>
                          </a:stretch>
                        </pic:blipFill>
                        <pic:spPr>
                          <a:xfrm>
                            <a:off x="0" y="0"/>
                            <a:ext cx="5615940" cy="26638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Borders>
              <w:tl2br w:val="nil"/>
              <w:tr2bl w:val="nil"/>
            </w:tcBorders>
          </w:tcPr>
          <w:p>
            <w:pPr>
              <w:jc w:val="left"/>
              <w:rPr>
                <w:rFonts w:hint="eastAsia" w:ascii="仿宋_GB2312" w:hAnsi="仿宋_GB2312" w:eastAsia="仿宋_GB2312" w:cs="仿宋_GB2312"/>
                <w:b/>
                <w:bCs/>
                <w:sz w:val="28"/>
                <w:szCs w:val="28"/>
                <w:highlight w:val="none"/>
              </w:rPr>
            </w:pPr>
            <w:r>
              <w:rPr>
                <w:rFonts w:ascii="仿宋_GB2312" w:hAnsi="仿宋_GB2312" w:eastAsia="仿宋_GB2312" w:cs="仿宋_GB2312"/>
                <w:b/>
                <w:bCs/>
                <w:sz w:val="28"/>
                <w:szCs w:val="28"/>
                <w:highlight w:val="none"/>
              </w:rPr>
              <w:drawing>
                <wp:inline distT="0" distB="0" distL="0" distR="0">
                  <wp:extent cx="5615940" cy="1575435"/>
                  <wp:effectExtent l="0" t="0" r="3810" b="5715"/>
                  <wp:docPr id="96568916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5689164" name="图片 34"/>
                          <pic:cNvPicPr>
                            <a:picLocks noChangeAspect="true" noChangeArrowheads="true"/>
                          </pic:cNvPicPr>
                        </pic:nvPicPr>
                        <pic:blipFill>
                          <a:blip r:embed="rId36">
                            <a:extLst>
                              <a:ext uri="{28A0092B-C50C-407E-A947-70E740481C1C}">
                                <a14:useLocalDpi xmlns:a14="http://schemas.microsoft.com/office/drawing/2010/main" val="false"/>
                              </a:ext>
                            </a:extLst>
                          </a:blip>
                          <a:srcRect/>
                          <a:stretch>
                            <a:fillRect/>
                          </a:stretch>
                        </pic:blipFill>
                        <pic:spPr>
                          <a:xfrm>
                            <a:off x="0" y="0"/>
                            <a:ext cx="5615940" cy="15754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（1）概述：</w:t>
            </w:r>
            <w:r>
              <w:rPr>
                <w:rFonts w:hint="eastAsia" w:ascii="仿宋_GB2312" w:hAnsi="仿宋_GB2312" w:eastAsia="仿宋_GB2312" w:cs="仿宋_GB2312"/>
                <w:sz w:val="28"/>
                <w:szCs w:val="28"/>
                <w:highlight w:val="none"/>
              </w:rPr>
              <w:t>2025</w:t>
            </w:r>
            <w:r>
              <w:rPr>
                <w:rFonts w:ascii="仿宋_GB2312" w:hAnsi="仿宋_GB2312" w:eastAsia="仿宋_GB2312" w:cs="仿宋_GB2312"/>
                <w:sz w:val="28"/>
                <w:szCs w:val="28"/>
                <w:highlight w:val="none"/>
              </w:rPr>
              <w:t>年，本企业环境保护税应税因子主要是xx，xx等，共缴纳环境保</w:t>
            </w:r>
            <w:r>
              <w:rPr>
                <w:rFonts w:hint="eastAsia" w:ascii="仿宋_GB2312" w:hAnsi="仿宋_GB2312" w:eastAsia="仿宋_GB2312" w:cs="仿宋_GB2312"/>
                <w:sz w:val="28"/>
                <w:szCs w:val="28"/>
                <w:highlight w:val="none"/>
              </w:rPr>
              <w:t>护税</w:t>
            </w:r>
            <w:r>
              <w:rPr>
                <w:rFonts w:ascii="仿宋_GB2312" w:hAnsi="仿宋_GB2312" w:eastAsia="仿宋_GB2312" w:cs="仿宋_GB2312"/>
                <w:sz w:val="28"/>
                <w:szCs w:val="28"/>
                <w:highlight w:val="none"/>
              </w:rPr>
              <w:t>xx万元。</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（2）应税因子：</w:t>
            </w:r>
            <w:r>
              <w:rPr>
                <w:rFonts w:hint="eastAsia" w:ascii="仿宋_GB2312" w:hAnsi="仿宋_GB2312" w:eastAsia="仿宋_GB2312" w:cs="仿宋_GB2312"/>
                <w:sz w:val="28"/>
                <w:szCs w:val="28"/>
                <w:highlight w:val="none"/>
              </w:rPr>
              <w:t>选择项，可搜索选择对标纳税污染物因子。</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（3）排放总量：</w:t>
            </w:r>
            <w:r>
              <w:rPr>
                <w:rFonts w:hint="eastAsia" w:ascii="仿宋_GB2312" w:hAnsi="仿宋_GB2312" w:eastAsia="仿宋_GB2312" w:cs="仿宋_GB2312"/>
                <w:sz w:val="28"/>
                <w:szCs w:val="28"/>
                <w:highlight w:val="none"/>
              </w:rPr>
              <w:t>单位换算成吨。</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（4）核定缴税数额：</w:t>
            </w:r>
            <w:r>
              <w:rPr>
                <w:rFonts w:hint="eastAsia" w:ascii="仿宋_GB2312" w:hAnsi="仿宋_GB2312" w:eastAsia="仿宋_GB2312" w:cs="仿宋_GB2312"/>
                <w:sz w:val="28"/>
                <w:szCs w:val="28"/>
                <w:highlight w:val="none"/>
              </w:rPr>
              <w:t>缴税原始基数。</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（5）实际缴纳数额：</w:t>
            </w:r>
            <w:r>
              <w:rPr>
                <w:rFonts w:hint="eastAsia" w:ascii="仿宋_GB2312" w:hAnsi="仿宋_GB2312" w:eastAsia="仿宋_GB2312" w:cs="仿宋_GB2312"/>
                <w:sz w:val="28"/>
                <w:szCs w:val="28"/>
                <w:highlight w:val="none"/>
              </w:rPr>
              <w:t>扣除免征、减征税额后的缴纳基数</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（6）应税污染物类型：</w:t>
            </w:r>
            <w:r>
              <w:rPr>
                <w:rFonts w:hint="eastAsia" w:ascii="仿宋_GB2312" w:hAnsi="仿宋_GB2312" w:eastAsia="仿宋_GB2312" w:cs="仿宋_GB2312"/>
                <w:sz w:val="28"/>
                <w:szCs w:val="28"/>
                <w:highlight w:val="none"/>
              </w:rPr>
              <w:t>下拉选择“大气污染物”“水污染物”“固体废物”“噪声”等污染物类型。</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（7）减征或免征情况：</w:t>
            </w:r>
            <w:r>
              <w:rPr>
                <w:rFonts w:hint="eastAsia" w:ascii="仿宋_GB2312" w:hAnsi="仿宋_GB2312" w:eastAsia="仿宋_GB2312" w:cs="仿宋_GB2312"/>
                <w:sz w:val="28"/>
                <w:szCs w:val="28"/>
                <w:highlight w:val="none"/>
              </w:rPr>
              <w:t>参照免征情形、减征情形，结合企业实际情况进行填写。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060"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5.3环境污染责任保险信息</w:t>
            </w:r>
          </w:p>
          <w:p>
            <w:pPr>
              <w:ind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根据上一年度签订的保险合同内容填写。若未投保环境污染责任保险，可不填。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Borders>
              <w:tl2br w:val="nil"/>
              <w:tr2bl w:val="nil"/>
            </w:tcBorders>
          </w:tcPr>
          <w:p>
            <w:pPr>
              <w:jc w:val="left"/>
              <w:rPr>
                <w:rFonts w:hint="eastAsia"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drawing>
                <wp:inline distT="0" distB="0" distL="0" distR="0">
                  <wp:extent cx="5615940" cy="2923540"/>
                  <wp:effectExtent l="0" t="0" r="3810" b="10160"/>
                  <wp:docPr id="908922677" name="图片 35" descr="图形用户界面, 文本, 应用程序, 电子邮件&#10;&#10;AI 生成的内容可能不正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8922677" name="图片 35" descr="图形用户界面, 文本, 应用程序, 电子邮件&#10;&#10;AI 生成的内容可能不正确。"/>
                          <pic:cNvPicPr>
                            <a:picLocks noChangeAspect="true" noChangeArrowheads="true"/>
                          </pic:cNvPicPr>
                        </pic:nvPicPr>
                        <pic:blipFill>
                          <a:blip r:embed="rId37">
                            <a:extLst>
                              <a:ext uri="{28A0092B-C50C-407E-A947-70E740481C1C}">
                                <a14:useLocalDpi xmlns:a14="http://schemas.microsoft.com/office/drawing/2010/main" val="false"/>
                              </a:ext>
                            </a:extLst>
                          </a:blip>
                          <a:srcRect/>
                          <a:stretch>
                            <a:fillRect/>
                          </a:stretch>
                        </pic:blipFill>
                        <pic:spPr>
                          <a:xfrm>
                            <a:off x="0" y="0"/>
                            <a:ext cx="5615940" cy="29235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5.4环保信用评价信息</w:t>
            </w:r>
          </w:p>
          <w:p>
            <w:pPr>
              <w:ind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可在市生态管理局官网查询信用评价结果，查询网址：</w:t>
            </w:r>
            <w:r>
              <w:rPr>
                <w:highlight w:val="none"/>
              </w:rPr>
              <w:fldChar w:fldCharType="begin"/>
            </w:r>
            <w:r>
              <w:rPr>
                <w:highlight w:val="none"/>
              </w:rPr>
              <w:instrText xml:space="preserve"> HYPERLINK "https://meeb.sz.gov.cn/ztfw/ztzl/wryhjjgxxgkzl/jczf/qyhjxypj/index.html" </w:instrText>
            </w:r>
            <w:r>
              <w:rPr>
                <w:highlight w:val="none"/>
              </w:rPr>
              <w:fldChar w:fldCharType="separate"/>
            </w:r>
            <w:r>
              <w:rPr>
                <w:rStyle w:val="17"/>
                <w:rFonts w:ascii="仿宋_GB2312" w:hAnsi="仿宋_GB2312" w:eastAsia="仿宋_GB2312" w:cs="仿宋_GB2312"/>
                <w:sz w:val="28"/>
                <w:szCs w:val="28"/>
                <w:highlight w:val="none"/>
              </w:rPr>
              <w:t>https://meeb.sz.gov.cn/ztfw/ztzl/wryhjjgxxgkzl/jczf/qyhjxypj/index.html</w:t>
            </w:r>
            <w:r>
              <w:rPr>
                <w:rStyle w:val="17"/>
                <w:rFonts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rPr>
              <w:t>，也可在“深圳市企业环保服务平台（</w:t>
            </w:r>
            <w:r>
              <w:rPr>
                <w:rFonts w:ascii="仿宋_GB2312" w:hAnsi="仿宋_GB2312" w:eastAsia="仿宋_GB2312" w:cs="仿宋_GB2312"/>
                <w:sz w:val="32"/>
                <w:szCs w:val="32"/>
                <w:highlight w:val="none"/>
              </w:rPr>
              <w:t>https://ep.meeb.sz.gov.cn/cep/login</w:t>
            </w:r>
            <w:r>
              <w:rPr>
                <w:rFonts w:hint="eastAsia" w:ascii="仿宋_GB2312" w:hAnsi="仿宋_GB2312" w:eastAsia="仿宋_GB2312" w:cs="仿宋_GB2312"/>
                <w:sz w:val="28"/>
                <w:szCs w:val="28"/>
                <w:highlight w:val="none"/>
              </w:rPr>
              <w:t>）”登录企业账号查看信用评价结果。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（1）概述：</w:t>
            </w:r>
            <w:r>
              <w:rPr>
                <w:rFonts w:hint="eastAsia" w:ascii="仿宋_GB2312" w:hAnsi="仿宋_GB2312" w:eastAsia="仿宋_GB2312" w:cs="仿宋_GB2312"/>
                <w:sz w:val="28"/>
                <w:szCs w:val="28"/>
                <w:highlight w:val="none"/>
              </w:rPr>
              <w:t>如“</w:t>
            </w:r>
            <w:r>
              <w:rPr>
                <w:rFonts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rPr>
              <w:t>5</w:t>
            </w:r>
            <w:r>
              <w:rPr>
                <w:rFonts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rPr>
              <w:t>8</w:t>
            </w:r>
            <w:r>
              <w:rPr>
                <w:rFonts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rPr>
              <w:t>15</w:t>
            </w:r>
            <w:r>
              <w:rPr>
                <w:rFonts w:ascii="仿宋_GB2312" w:hAnsi="仿宋_GB2312" w:eastAsia="仿宋_GB2312" w:cs="仿宋_GB2312"/>
                <w:sz w:val="28"/>
                <w:szCs w:val="28"/>
                <w:highlight w:val="none"/>
              </w:rPr>
              <w:t>日，</w:t>
            </w:r>
            <w:r>
              <w:rPr>
                <w:rFonts w:hint="eastAsia" w:ascii="仿宋_GB2312" w:hAnsi="仿宋_GB2312" w:eastAsia="仿宋_GB2312" w:cs="仿宋_GB2312"/>
                <w:sz w:val="28"/>
                <w:szCs w:val="28"/>
                <w:highlight w:val="none"/>
              </w:rPr>
              <w:t>深圳</w:t>
            </w:r>
            <w:r>
              <w:rPr>
                <w:rFonts w:ascii="仿宋_GB2312" w:hAnsi="仿宋_GB2312" w:eastAsia="仿宋_GB2312" w:cs="仿宋_GB2312"/>
                <w:sz w:val="28"/>
                <w:szCs w:val="28"/>
                <w:highlight w:val="none"/>
              </w:rPr>
              <w:t>市生态环境局发布</w:t>
            </w:r>
            <w:r>
              <w:rPr>
                <w:rFonts w:hint="eastAsia" w:ascii="仿宋_GB2312" w:hAnsi="仿宋_GB2312" w:eastAsia="仿宋_GB2312" w:cs="仿宋_GB2312"/>
                <w:sz w:val="28"/>
                <w:szCs w:val="28"/>
                <w:highlight w:val="none"/>
              </w:rPr>
              <w:t>关于公布深圳市</w:t>
            </w:r>
            <w:r>
              <w:rPr>
                <w:rFonts w:ascii="仿宋_GB2312" w:hAnsi="仿宋_GB2312" w:eastAsia="仿宋_GB2312" w:cs="仿宋_GB2312"/>
                <w:sz w:val="28"/>
                <w:szCs w:val="28"/>
                <w:highlight w:val="none"/>
              </w:rPr>
              <w:t>2025年第二次排污单位环境信用评价结果的通知</w:t>
            </w:r>
            <w:r>
              <w:rPr>
                <w:rFonts w:hint="eastAsia" w:ascii="仿宋_GB2312" w:hAnsi="仿宋_GB2312" w:eastAsia="仿宋_GB2312" w:cs="仿宋_GB2312"/>
                <w:sz w:val="28"/>
                <w:szCs w:val="28"/>
                <w:highlight w:val="none"/>
              </w:rPr>
              <w:t>，依据该文件，本企业在2025</w:t>
            </w:r>
            <w:r>
              <w:rPr>
                <w:rFonts w:ascii="仿宋_GB2312" w:hAnsi="仿宋_GB2312" w:eastAsia="仿宋_GB2312" w:cs="仿宋_GB2312"/>
                <w:sz w:val="28"/>
                <w:szCs w:val="28"/>
                <w:highlight w:val="none"/>
              </w:rPr>
              <w:t>年度环境信用登</w:t>
            </w:r>
            <w:r>
              <w:rPr>
                <w:rFonts w:hint="eastAsia" w:ascii="仿宋_GB2312" w:hAnsi="仿宋_GB2312" w:eastAsia="仿宋_GB2312" w:cs="仿宋_GB2312"/>
                <w:sz w:val="28"/>
                <w:szCs w:val="28"/>
                <w:highlight w:val="none"/>
              </w:rPr>
              <w:t>记为环保诚信企业”</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（2）评价单位：</w:t>
            </w:r>
            <w:r>
              <w:rPr>
                <w:rFonts w:hint="eastAsia" w:ascii="仿宋_GB2312" w:hAnsi="仿宋_GB2312" w:eastAsia="仿宋_GB2312" w:cs="仿宋_GB2312"/>
                <w:sz w:val="28"/>
                <w:szCs w:val="28"/>
                <w:highlight w:val="none"/>
              </w:rPr>
              <w:t>根据实际情况填写。</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（3）本年度环保信用评价等级：</w:t>
            </w:r>
            <w:r>
              <w:rPr>
                <w:rFonts w:hint="eastAsia" w:ascii="仿宋_GB2312" w:hAnsi="仿宋_GB2312" w:eastAsia="仿宋_GB2312" w:cs="仿宋_GB2312"/>
                <w:sz w:val="28"/>
                <w:szCs w:val="28"/>
                <w:highlight w:val="none"/>
              </w:rPr>
              <w:t>选择项，包括“诚信企业”“良好企业”“警示企业”“不良企业”“未参与信用评价”。</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（4）上年度环保信用评价等级：</w:t>
            </w:r>
            <w:r>
              <w:rPr>
                <w:rFonts w:hint="eastAsia" w:ascii="仿宋_GB2312" w:hAnsi="仿宋_GB2312" w:eastAsia="仿宋_GB2312" w:cs="仿宋_GB2312"/>
                <w:sz w:val="28"/>
                <w:szCs w:val="28"/>
                <w:highlight w:val="none"/>
              </w:rPr>
              <w:t>选择项，包括“诚信企业”“良好企业”“警示企业”“不良企业”“未参与信用评价”。</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（5）本年度未纳入信用评价原因：</w:t>
            </w:r>
            <w:r>
              <w:rPr>
                <w:rFonts w:hint="eastAsia" w:ascii="仿宋_GB2312" w:hAnsi="仿宋_GB2312" w:eastAsia="仿宋_GB2312" w:cs="仿宋_GB2312"/>
                <w:sz w:val="28"/>
                <w:szCs w:val="28"/>
                <w:highlight w:val="none"/>
              </w:rPr>
              <w:t>若企业当年未纳入信用评价，需填写原因。</w:t>
            </w:r>
          </w:p>
        </w:tc>
      </w:tr>
    </w:tbl>
    <w:p>
      <w:pPr>
        <w:rPr>
          <w:rFonts w:hint="eastAsia" w:ascii="仿宋_GB2312" w:hAnsi="仿宋_GB2312" w:eastAsia="仿宋_GB2312" w:cs="仿宋_GB2312"/>
          <w:sz w:val="32"/>
          <w:szCs w:val="32"/>
          <w:highlight w:val="none"/>
        </w:rPr>
      </w:pPr>
    </w:p>
    <w:p>
      <w:pPr>
        <w:widowControl/>
        <w:jc w:val="left"/>
        <w:rPr>
          <w:rFonts w:hint="eastAsia"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br w:type="page"/>
      </w:r>
    </w:p>
    <w:p>
      <w:pPr>
        <w:pStyle w:val="4"/>
        <w:numPr>
          <w:ilvl w:val="0"/>
          <w:numId w:val="5"/>
        </w:numPr>
        <w:rPr>
          <w:rFonts w:hint="eastAsia"/>
          <w:highlight w:val="none"/>
        </w:rPr>
      </w:pPr>
      <w:bookmarkStart w:id="45" w:name="_Toc9553"/>
      <w:bookmarkStart w:id="46" w:name="_Toc210058644"/>
      <w:bookmarkStart w:id="47" w:name="_Toc29079"/>
      <w:bookmarkStart w:id="48" w:name="_Toc210058126"/>
      <w:r>
        <w:rPr>
          <w:rFonts w:hint="eastAsia"/>
          <w:highlight w:val="none"/>
        </w:rPr>
        <w:t>企业污染物产生、治理与排放信息</w:t>
      </w:r>
      <w:bookmarkEnd w:id="45"/>
      <w:bookmarkEnd w:id="46"/>
      <w:bookmarkEnd w:id="47"/>
      <w:bookmarkEnd w:id="48"/>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6.1污染防治设施信息</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按照实际情况填写公司所有的污染防治设施信息，不要遗漏。每一个污染防治设施和工艺环节或区域的对应关系要标注清楚，切勿张冠李戴。如污染防治设施因各种原因发生停运，均应逐一列明。当有第三方运营维护公司为企业服务时，需披露第三方公司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5" w:hRule="atLeast"/>
        </w:trPr>
        <w:tc>
          <w:tcPr>
            <w:tcW w:w="8856" w:type="dxa"/>
            <w:tcBorders>
              <w:tl2br w:val="nil"/>
              <w:tr2bl w:val="nil"/>
            </w:tcBorders>
          </w:tcPr>
          <w:p>
            <w:pPr>
              <w:spacing w:line="56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anchor distT="0" distB="0" distL="114300" distR="114300" simplePos="0" relativeHeight="251659264" behindDoc="0" locked="0" layoutInCell="1" allowOverlap="1">
                  <wp:simplePos x="0" y="0"/>
                  <wp:positionH relativeFrom="column">
                    <wp:posOffset>24130</wp:posOffset>
                  </wp:positionH>
                  <wp:positionV relativeFrom="paragraph">
                    <wp:posOffset>166370</wp:posOffset>
                  </wp:positionV>
                  <wp:extent cx="5467350" cy="2248535"/>
                  <wp:effectExtent l="0" t="0" r="0" b="18415"/>
                  <wp:wrapTopAndBottom/>
                  <wp:docPr id="25" name="图片 25" descr="44eaf6e05f0bb5475548e0d55a70605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44eaf6e05f0bb5475548e0d55a70605c"/>
                          <pic:cNvPicPr>
                            <a:picLocks noChangeAspect="true"/>
                          </pic:cNvPicPr>
                        </pic:nvPicPr>
                        <pic:blipFill>
                          <a:blip r:embed="rId38"/>
                          <a:stretch>
                            <a:fillRect/>
                          </a:stretch>
                        </pic:blipFill>
                        <pic:spPr>
                          <a:xfrm>
                            <a:off x="0" y="0"/>
                            <a:ext cx="5467350" cy="224853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（1）概述：</w:t>
            </w:r>
            <w:r>
              <w:rPr>
                <w:rFonts w:hint="eastAsia" w:ascii="仿宋_GB2312" w:hAnsi="仿宋_GB2312" w:eastAsia="仿宋_GB2312" w:cs="仿宋_GB2312"/>
                <w:sz w:val="28"/>
                <w:szCs w:val="28"/>
                <w:highlight w:val="none"/>
              </w:rPr>
              <w:t>如“2025年，本企业现共有污染防治设施5套，其中，废水污染防治设施1套，废气污染防治设施4套。”</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（2）新增：</w:t>
            </w:r>
            <w:r>
              <w:rPr>
                <w:rFonts w:hint="eastAsia" w:ascii="仿宋_GB2312" w:hAnsi="仿宋_GB2312" w:eastAsia="仿宋_GB2312" w:cs="仿宋_GB2312"/>
                <w:sz w:val="28"/>
                <w:szCs w:val="28"/>
                <w:highlight w:val="none"/>
              </w:rPr>
              <w:t>根据污染防治设施数量新增相应行数。</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（3）设施名称：</w:t>
            </w:r>
            <w:r>
              <w:rPr>
                <w:rFonts w:hint="eastAsia" w:ascii="仿宋_GB2312" w:hAnsi="仿宋_GB2312" w:eastAsia="仿宋_GB2312" w:cs="仿宋_GB2312"/>
                <w:sz w:val="28"/>
                <w:szCs w:val="28"/>
                <w:highlight w:val="none"/>
              </w:rPr>
              <w:t>可参考排污许可－产排污节点、污染物及污染治理设施填写。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（4）设施类型：</w:t>
            </w:r>
            <w:r>
              <w:rPr>
                <w:rFonts w:hint="eastAsia" w:ascii="仿宋_GB2312" w:hAnsi="仿宋_GB2312" w:eastAsia="仿宋_GB2312" w:cs="仿宋_GB2312"/>
                <w:sz w:val="28"/>
                <w:szCs w:val="28"/>
                <w:highlight w:val="none"/>
              </w:rPr>
              <w:t>选择“水污染物防治设施/大气污染物防治设施/其他”其中一项。</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（5）产污环节：</w:t>
            </w:r>
            <w:r>
              <w:rPr>
                <w:rFonts w:hint="eastAsia" w:ascii="仿宋_GB2312" w:hAnsi="仿宋_GB2312" w:eastAsia="仿宋_GB2312" w:cs="仿宋_GB2312"/>
                <w:sz w:val="28"/>
                <w:szCs w:val="28"/>
                <w:highlight w:val="none"/>
              </w:rPr>
              <w:t>可参考排污许可－产排污节点、污染物及污染治理设施信息表填报。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（6）处理污染物：</w:t>
            </w:r>
            <w:r>
              <w:rPr>
                <w:rFonts w:hint="eastAsia" w:ascii="仿宋_GB2312" w:hAnsi="仿宋_GB2312" w:eastAsia="仿宋_GB2312" w:cs="仿宋_GB2312"/>
                <w:sz w:val="28"/>
                <w:szCs w:val="28"/>
                <w:highlight w:val="none"/>
              </w:rPr>
              <w:t>选择项，可多选。</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（7）对应排污口名称：</w:t>
            </w:r>
            <w:r>
              <w:rPr>
                <w:rFonts w:hint="eastAsia" w:ascii="仿宋_GB2312" w:hAnsi="仿宋_GB2312" w:eastAsia="仿宋_GB2312" w:cs="仿宋_GB2312"/>
                <w:sz w:val="28"/>
                <w:szCs w:val="28"/>
                <w:highlight w:val="none"/>
              </w:rPr>
              <w:t>可参考排污许可证－产排污节点、污染物及污染治理设施信息表。</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（8）对应排污口编号：</w:t>
            </w:r>
            <w:r>
              <w:rPr>
                <w:rFonts w:hint="eastAsia" w:ascii="仿宋_GB2312" w:hAnsi="仿宋_GB2312" w:eastAsia="仿宋_GB2312" w:cs="仿宋_GB2312"/>
                <w:sz w:val="28"/>
                <w:szCs w:val="28"/>
                <w:highlight w:val="none"/>
              </w:rPr>
              <w:t>可参考排污许可证－产排污节点、污染物及污染治理设施信息表。</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（8）负责运营、维护的第三方机构名称：</w:t>
            </w:r>
            <w:r>
              <w:rPr>
                <w:rFonts w:hint="eastAsia" w:ascii="仿宋_GB2312" w:hAnsi="仿宋_GB2312" w:eastAsia="仿宋_GB2312" w:cs="仿宋_GB2312"/>
                <w:sz w:val="28"/>
                <w:szCs w:val="28"/>
                <w:highlight w:val="none"/>
              </w:rPr>
              <w:t>填报自运营/第三方机构名称。</w:t>
            </w:r>
          </w:p>
          <w:p>
            <w:pPr>
              <w:ind w:firstLine="562"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28"/>
                <w:szCs w:val="28"/>
                <w:highlight w:val="none"/>
              </w:rPr>
              <w:t>（9）第三方资质：</w:t>
            </w:r>
            <w:r>
              <w:rPr>
                <w:rFonts w:hint="eastAsia" w:ascii="仿宋_GB2312" w:hAnsi="仿宋_GB2312" w:eastAsia="仿宋_GB2312" w:cs="仿宋_GB2312"/>
                <w:sz w:val="28"/>
                <w:szCs w:val="28"/>
                <w:highlight w:val="none"/>
              </w:rPr>
              <w:t>填报第三方机构的环境污染治理设施运营资质。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6.2污染防治设施非正常运行情况</w:t>
            </w:r>
          </w:p>
          <w:p>
            <w:pPr>
              <w:ind w:firstLine="56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28"/>
                <w:szCs w:val="28"/>
                <w:highlight w:val="none"/>
              </w:rPr>
              <w:t>当污染防治设施因各种原因发生如停运、停产、污染物排放浓度异常等非正常运行情况时，均应逐一列明。依据非正常运行发生次数新增，若该年度无发生污染防治设施非正常运行情况，可不填。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6" w:type="dxa"/>
            <w:tcBorders>
              <w:tl2br w:val="nil"/>
              <w:tr2bl w:val="nil"/>
            </w:tcBorders>
          </w:tcPr>
          <w:p>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drawing>
                <wp:inline distT="0" distB="0" distL="114300" distR="114300">
                  <wp:extent cx="5583555" cy="1393190"/>
                  <wp:effectExtent l="0" t="0" r="17145" b="16510"/>
                  <wp:docPr id="26" name="图片 26" descr="542f75fae6cbf79f1aa2620b90df23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542f75fae6cbf79f1aa2620b90df2366"/>
                          <pic:cNvPicPr>
                            <a:picLocks noChangeAspect="true"/>
                          </pic:cNvPicPr>
                        </pic:nvPicPr>
                        <pic:blipFill>
                          <a:blip r:embed="rId39"/>
                          <a:stretch>
                            <a:fillRect/>
                          </a:stretch>
                        </pic:blipFill>
                        <pic:spPr>
                          <a:xfrm>
                            <a:off x="0" y="0"/>
                            <a:ext cx="5583555" cy="13931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（1）新增：</w:t>
            </w:r>
            <w:r>
              <w:rPr>
                <w:rFonts w:hint="eastAsia" w:ascii="仿宋_GB2312" w:hAnsi="仿宋_GB2312" w:eastAsia="仿宋_GB2312" w:cs="仿宋_GB2312"/>
                <w:sz w:val="28"/>
                <w:szCs w:val="28"/>
                <w:highlight w:val="none"/>
              </w:rPr>
              <w:t>依据非正常运行发生次数新增，若该年度无发生污染防治设施非正常运行情况，可不填。</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（2）设施名称：</w:t>
            </w:r>
            <w:r>
              <w:rPr>
                <w:rFonts w:hint="eastAsia" w:ascii="仿宋_GB2312" w:hAnsi="仿宋_GB2312" w:eastAsia="仿宋_GB2312" w:cs="仿宋_GB2312"/>
                <w:sz w:val="28"/>
                <w:szCs w:val="28"/>
                <w:highlight w:val="none"/>
              </w:rPr>
              <w:t>填写非正常运行设施的名称。</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（3）排放的污染物：</w:t>
            </w:r>
            <w:r>
              <w:rPr>
                <w:rFonts w:hint="eastAsia" w:ascii="仿宋_GB2312" w:hAnsi="仿宋_GB2312" w:eastAsia="仿宋_GB2312" w:cs="仿宋_GB2312"/>
                <w:sz w:val="28"/>
                <w:szCs w:val="28"/>
                <w:highlight w:val="none"/>
              </w:rPr>
              <w:t>非正常运行期间排放的污染物类型（选择项，可多选）。</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（4）非正常运行次数：</w:t>
            </w:r>
            <w:r>
              <w:rPr>
                <w:rFonts w:hint="eastAsia" w:ascii="仿宋_GB2312" w:hAnsi="仿宋_GB2312" w:eastAsia="仿宋_GB2312" w:cs="仿宋_GB2312"/>
                <w:sz w:val="28"/>
                <w:szCs w:val="28"/>
                <w:highlight w:val="none"/>
              </w:rPr>
              <w:t>该防治设施非正常运行的次数。</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（5）非正常运行日期：</w:t>
            </w:r>
            <w:r>
              <w:rPr>
                <w:rFonts w:hint="eastAsia" w:ascii="仿宋_GB2312" w:hAnsi="仿宋_GB2312" w:eastAsia="仿宋_GB2312" w:cs="仿宋_GB2312"/>
                <w:sz w:val="28"/>
                <w:szCs w:val="28"/>
                <w:highlight w:val="none"/>
              </w:rPr>
              <w:t>填写非正常运行开始日期。</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（6）非正常运行结束日期：</w:t>
            </w:r>
            <w:r>
              <w:rPr>
                <w:rFonts w:hint="eastAsia" w:ascii="仿宋_GB2312" w:hAnsi="仿宋_GB2312" w:eastAsia="仿宋_GB2312" w:cs="仿宋_GB2312"/>
                <w:sz w:val="28"/>
                <w:szCs w:val="28"/>
                <w:highlight w:val="none"/>
              </w:rPr>
              <w:t>填写非正常运行结束日期。</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（7）非正常运行时长（小时）：</w:t>
            </w:r>
            <w:r>
              <w:rPr>
                <w:rFonts w:hint="eastAsia" w:ascii="仿宋_GB2312" w:hAnsi="仿宋_GB2312" w:eastAsia="仿宋_GB2312" w:cs="仿宋_GB2312"/>
                <w:sz w:val="28"/>
                <w:szCs w:val="28"/>
                <w:highlight w:val="none"/>
              </w:rPr>
              <w:t>计算对应时长。</w:t>
            </w:r>
          </w:p>
          <w:p>
            <w:pPr>
              <w:ind w:firstLine="562"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28"/>
                <w:szCs w:val="28"/>
                <w:highlight w:val="none"/>
              </w:rPr>
              <w:t>（8）主要原因：</w:t>
            </w:r>
            <w:r>
              <w:rPr>
                <w:rFonts w:hint="eastAsia" w:ascii="仿宋_GB2312" w:hAnsi="仿宋_GB2312" w:eastAsia="仿宋_GB2312" w:cs="仿宋_GB2312"/>
                <w:sz w:val="28"/>
                <w:szCs w:val="28"/>
                <w:highlight w:val="none"/>
              </w:rPr>
              <w:t>填写导致防治设施非正常运行原因。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6.3水污染物排放信息、大气污染物排放信息</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此表只填企业主要排污口相关信息，主要排污口按照排污许可证中的类别确定；排污口编号应使用排污许可证中的编号；废气实际排放浓度为当年度各因子小时浓度的最大值、最小值和平均值，废水实际排放浓度为当年度各因子日均浓度的最大值、最小值和平均值，具体参考排污许可证年度执行报告；属于排污许可管理的企业应填写许可排放量、许可排放浓度两列。</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6.3.1污染物排放口监测信息</w:t>
            </w:r>
          </w:p>
          <w:p>
            <w:pPr>
              <w:ind w:firstLine="56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28"/>
                <w:szCs w:val="28"/>
                <w:highlight w:val="none"/>
              </w:rPr>
              <w:t>需要区分自动监测和自行监测，自动监测即在线监测，自行监测即找第三方检测公司并由公司进行采样检测。按照上一年度实际情况填写每个排放口自动监测和自行检测的情况，并填写第三方检测公司信息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6" w:type="dxa"/>
            <w:tcBorders>
              <w:tl2br w:val="nil"/>
              <w:tr2bl w:val="nil"/>
            </w:tcBorders>
          </w:tcPr>
          <w:p>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drawing>
                <wp:inline distT="0" distB="0" distL="114300" distR="114300">
                  <wp:extent cx="5467985" cy="2390140"/>
                  <wp:effectExtent l="0" t="0" r="18415" b="10160"/>
                  <wp:docPr id="3" name="图片 3" descr="29a5b288806ce1e7d1041015fa127b7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29a5b288806ce1e7d1041015fa127b7e"/>
                          <pic:cNvPicPr>
                            <a:picLocks noChangeAspect="true"/>
                          </pic:cNvPicPr>
                        </pic:nvPicPr>
                        <pic:blipFill>
                          <a:blip r:embed="rId40"/>
                          <a:srcRect b="29341"/>
                          <a:stretch>
                            <a:fillRect/>
                          </a:stretch>
                        </pic:blipFill>
                        <pic:spPr>
                          <a:xfrm>
                            <a:off x="0" y="0"/>
                            <a:ext cx="5467985" cy="23901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（1）概述：</w:t>
            </w:r>
            <w:r>
              <w:rPr>
                <w:rFonts w:hint="eastAsia" w:ascii="仿宋_GB2312" w:hAnsi="仿宋_GB2312" w:eastAsia="仿宋_GB2312" w:cs="仿宋_GB2312"/>
                <w:sz w:val="28"/>
                <w:szCs w:val="28"/>
                <w:highlight w:val="none"/>
              </w:rPr>
              <w:t>例</w:t>
            </w:r>
            <w:r>
              <w:rPr>
                <w:rFonts w:ascii="仿宋_GB2312" w:hAnsi="仿宋_GB2312" w:eastAsia="仿宋_GB2312" w:cs="仿宋_GB2312"/>
                <w:sz w:val="28"/>
                <w:szCs w:val="28"/>
                <w:highlight w:val="none"/>
                <w:lang w:val="en"/>
              </w:rPr>
              <w:t>如</w:t>
            </w:r>
            <w:r>
              <w:rPr>
                <w:rFonts w:hint="eastAsia" w:ascii="仿宋_GB2312" w:hAnsi="仿宋_GB2312" w:eastAsia="仿宋_GB2312" w:cs="仿宋_GB2312"/>
                <w:sz w:val="28"/>
                <w:szCs w:val="28"/>
                <w:highlight w:val="none"/>
              </w:rPr>
              <w:t>：“2025年，本企业共生产300天，开展自行监测12天，共计12次。”</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（2）新增：</w:t>
            </w:r>
            <w:r>
              <w:rPr>
                <w:rFonts w:hint="eastAsia" w:ascii="仿宋_GB2312" w:hAnsi="仿宋_GB2312" w:eastAsia="仿宋_GB2312" w:cs="仿宋_GB2312"/>
                <w:sz w:val="28"/>
                <w:szCs w:val="28"/>
                <w:highlight w:val="none"/>
              </w:rPr>
              <w:t>包括大气排放口和水排放口,确保与排污许可证上内容信息保持一致。</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（3）污染物排放口：</w:t>
            </w:r>
            <w:r>
              <w:rPr>
                <w:rFonts w:hint="eastAsia" w:ascii="仿宋_GB2312" w:hAnsi="仿宋_GB2312" w:eastAsia="仿宋_GB2312" w:cs="仿宋_GB2312"/>
                <w:sz w:val="28"/>
                <w:szCs w:val="28"/>
                <w:highlight w:val="none"/>
              </w:rPr>
              <w:t>选择项，可选择“水污染物排放口/大气污染物排放口”。</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（4）编号：</w:t>
            </w:r>
            <w:r>
              <w:rPr>
                <w:rFonts w:hint="eastAsia" w:ascii="仿宋_GB2312" w:hAnsi="仿宋_GB2312" w:eastAsia="仿宋_GB2312" w:cs="仿宋_GB2312"/>
                <w:sz w:val="28"/>
                <w:szCs w:val="28"/>
                <w:highlight w:val="none"/>
              </w:rPr>
              <w:t>可参考排污许可－大气/水污染物排放－排污口，编号与排污证保持一致。</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（5）自动监测指标：</w:t>
            </w:r>
            <w:r>
              <w:rPr>
                <w:rFonts w:hint="eastAsia" w:ascii="仿宋_GB2312" w:hAnsi="仿宋_GB2312" w:eastAsia="仿宋_GB2312" w:cs="仿宋_GB2312"/>
                <w:sz w:val="28"/>
                <w:szCs w:val="28"/>
                <w:highlight w:val="none"/>
              </w:rPr>
              <w:t>按实际情况填写，若无自动监测指标，则填“无”。</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（6）联网部门：</w:t>
            </w:r>
            <w:r>
              <w:rPr>
                <w:rFonts w:hint="eastAsia" w:ascii="仿宋_GB2312" w:hAnsi="仿宋_GB2312" w:eastAsia="仿宋_GB2312" w:cs="仿宋_GB2312"/>
                <w:sz w:val="28"/>
                <w:szCs w:val="28"/>
                <w:highlight w:val="none"/>
              </w:rPr>
              <w:t>如未联网，则填“无”，有则填写联网部门全称。</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（7）自行检测次数：</w:t>
            </w:r>
            <w:r>
              <w:rPr>
                <w:rFonts w:hint="eastAsia" w:ascii="仿宋_GB2312" w:hAnsi="仿宋_GB2312" w:eastAsia="仿宋_GB2312" w:cs="仿宋_GB2312"/>
                <w:sz w:val="28"/>
                <w:szCs w:val="28"/>
                <w:highlight w:val="none"/>
              </w:rPr>
              <w:t>按实际情况填写。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（8）全年生产天数：</w:t>
            </w:r>
            <w:r>
              <w:rPr>
                <w:rFonts w:hint="eastAsia" w:ascii="仿宋_GB2312" w:hAnsi="仿宋_GB2312" w:eastAsia="仿宋_GB2312" w:cs="仿宋_GB2312"/>
                <w:sz w:val="28"/>
                <w:szCs w:val="28"/>
                <w:highlight w:val="none"/>
              </w:rPr>
              <w:t>按实际生产天数填写。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（9）达标次数：</w:t>
            </w:r>
            <w:r>
              <w:rPr>
                <w:rFonts w:hint="eastAsia" w:ascii="仿宋_GB2312" w:hAnsi="仿宋_GB2312" w:eastAsia="仿宋_GB2312" w:cs="仿宋_GB2312"/>
                <w:sz w:val="28"/>
                <w:szCs w:val="28"/>
                <w:highlight w:val="none"/>
              </w:rPr>
              <w:t>按实际情况填写。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（10）超标次数：</w:t>
            </w:r>
            <w:r>
              <w:rPr>
                <w:rFonts w:hint="eastAsia" w:ascii="仿宋_GB2312" w:hAnsi="仿宋_GB2312" w:eastAsia="仿宋_GB2312" w:cs="仿宋_GB2312"/>
                <w:sz w:val="28"/>
                <w:szCs w:val="28"/>
                <w:highlight w:val="none"/>
              </w:rPr>
              <w:t>按实际情况填写。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（11）第三方检测机构名称：</w:t>
            </w:r>
            <w:r>
              <w:rPr>
                <w:rFonts w:hint="eastAsia" w:ascii="仿宋_GB2312" w:hAnsi="仿宋_GB2312" w:eastAsia="仿宋_GB2312" w:cs="仿宋_GB2312"/>
                <w:sz w:val="28"/>
                <w:szCs w:val="28"/>
                <w:highlight w:val="none"/>
              </w:rPr>
              <w:t>填报第三方检测机构中文名称。</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（12）机构资质：</w:t>
            </w:r>
            <w:r>
              <w:rPr>
                <w:rFonts w:hint="eastAsia" w:ascii="仿宋_GB2312" w:hAnsi="仿宋_GB2312" w:eastAsia="仿宋_GB2312" w:cs="仿宋_GB2312"/>
                <w:sz w:val="28"/>
                <w:szCs w:val="28"/>
                <w:highlight w:val="none"/>
              </w:rPr>
              <w:t>可填写第三方检测机构CMA资质或CNAS资质。例“CMA、CNAS”</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（13）是否在线自动监测：</w:t>
            </w:r>
            <w:r>
              <w:rPr>
                <w:rFonts w:hint="eastAsia" w:ascii="仿宋_GB2312" w:hAnsi="仿宋_GB2312" w:eastAsia="仿宋_GB2312" w:cs="仿宋_GB2312"/>
                <w:sz w:val="28"/>
                <w:szCs w:val="28"/>
                <w:highlight w:val="none"/>
              </w:rPr>
              <w:t>选择项，可选择“是/否”。</w:t>
            </w:r>
          </w:p>
          <w:p>
            <w:pPr>
              <w:ind w:firstLine="562"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28"/>
                <w:szCs w:val="28"/>
                <w:highlight w:val="none"/>
              </w:rPr>
              <w:t>（14）是否自行检测：</w:t>
            </w:r>
            <w:r>
              <w:rPr>
                <w:rFonts w:hint="eastAsia" w:ascii="仿宋_GB2312" w:hAnsi="仿宋_GB2312" w:eastAsia="仿宋_GB2312" w:cs="仿宋_GB2312"/>
                <w:sz w:val="28"/>
                <w:szCs w:val="28"/>
                <w:highlight w:val="none"/>
              </w:rPr>
              <w:t>选择项，可选择“是/否”。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6.3.2水污染物排放信息</w:t>
            </w:r>
          </w:p>
          <w:p>
            <w:pPr>
              <w:ind w:firstLine="560"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可按照排放口添加，也可按照污染物种类进行添加，具体数据按照排污许可证副本、在线监测数据及第三方检测报告填写。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spacing w:line="560" w:lineRule="exac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anchor distT="0" distB="0" distL="114300" distR="114300" simplePos="0" relativeHeight="251663360" behindDoc="0" locked="0" layoutInCell="1" allowOverlap="1">
                  <wp:simplePos x="0" y="0"/>
                  <wp:positionH relativeFrom="column">
                    <wp:posOffset>0</wp:posOffset>
                  </wp:positionH>
                  <wp:positionV relativeFrom="paragraph">
                    <wp:posOffset>-1982470</wp:posOffset>
                  </wp:positionV>
                  <wp:extent cx="5483225" cy="2251075"/>
                  <wp:effectExtent l="0" t="0" r="3175" b="15875"/>
                  <wp:wrapTopAndBottom/>
                  <wp:docPr id="27" name="图片 27" descr="b19f237ed7602adbcb75284308ff88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b19f237ed7602adbcb75284308ff8899"/>
                          <pic:cNvPicPr>
                            <a:picLocks noChangeAspect="true"/>
                          </pic:cNvPicPr>
                        </pic:nvPicPr>
                        <pic:blipFill>
                          <a:blip r:embed="rId41"/>
                          <a:stretch>
                            <a:fillRect/>
                          </a:stretch>
                        </pic:blipFill>
                        <pic:spPr>
                          <a:xfrm>
                            <a:off x="0" y="0"/>
                            <a:ext cx="5483225" cy="225107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（1）概述：</w:t>
            </w:r>
            <w:r>
              <w:rPr>
                <w:rFonts w:hint="eastAsia" w:ascii="仿宋_GB2312" w:hAnsi="仿宋_GB2312" w:eastAsia="仿宋_GB2312" w:cs="仿宋_GB2312"/>
                <w:sz w:val="28"/>
                <w:szCs w:val="28"/>
                <w:highlight w:val="none"/>
              </w:rPr>
              <w:t>2025年，企业共有废水排污口x个，其中主要排污口x个，共有废气排污口x个，其中主要排污口x个；企业共排放水污染物x种，每种污染物年排放总量分别为COD：x吨、氨氮：x吨；共排放大气污染物x种，每种污染物年排放总量分别为氮氧化物：x吨、二氧化硫：x吨、颗粒物：x吨、非甲烷总烃：x吨。</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（2）新增：</w:t>
            </w:r>
            <w:r>
              <w:rPr>
                <w:rFonts w:hint="eastAsia" w:ascii="仿宋_GB2312" w:hAnsi="仿宋_GB2312" w:eastAsia="仿宋_GB2312" w:cs="仿宋_GB2312"/>
                <w:sz w:val="28"/>
                <w:szCs w:val="28"/>
                <w:highlight w:val="none"/>
              </w:rPr>
              <w:t>可参考排污许可证，根据各个废水排放口排放的污染物新增行数（一个污染物指标填报一行）。</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（3）排放口编号：</w:t>
            </w:r>
            <w:r>
              <w:rPr>
                <w:rFonts w:hint="eastAsia" w:ascii="仿宋_GB2312" w:hAnsi="仿宋_GB2312" w:eastAsia="仿宋_GB2312" w:cs="仿宋_GB2312"/>
                <w:sz w:val="28"/>
                <w:szCs w:val="28"/>
                <w:highlight w:val="none"/>
              </w:rPr>
              <w:t>可参考排污许可－水污染物排放－排污口填写。</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（4）排放口名称：</w:t>
            </w:r>
            <w:r>
              <w:rPr>
                <w:rFonts w:hint="eastAsia" w:ascii="仿宋_GB2312" w:hAnsi="仿宋_GB2312" w:eastAsia="仿宋_GB2312" w:cs="仿宋_GB2312"/>
                <w:sz w:val="28"/>
                <w:szCs w:val="28"/>
                <w:highlight w:val="none"/>
              </w:rPr>
              <w:t>可参考排污许可－水污染物排放－排污口填写。</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（5）污染物种类：</w:t>
            </w:r>
            <w:r>
              <w:rPr>
                <w:rFonts w:hint="eastAsia" w:ascii="仿宋_GB2312" w:hAnsi="仿宋_GB2312" w:eastAsia="仿宋_GB2312" w:cs="仿宋_GB2312"/>
                <w:sz w:val="28"/>
                <w:szCs w:val="28"/>
                <w:highlight w:val="none"/>
              </w:rPr>
              <w:t>可参考《水污染物名称代码HJ525-2009》表2“水污染物及相关指标名称代码表”填写类别名称。</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（6）污染物：</w:t>
            </w:r>
            <w:r>
              <w:rPr>
                <w:rFonts w:hint="eastAsia" w:ascii="仿宋_GB2312" w:hAnsi="仿宋_GB2312" w:eastAsia="仿宋_GB2312" w:cs="仿宋_GB2312"/>
                <w:sz w:val="28"/>
                <w:szCs w:val="28"/>
                <w:highlight w:val="none"/>
              </w:rPr>
              <w:t>选择项，可多选，可参考排污许可－自行监测</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（7）经度：</w:t>
            </w:r>
            <w:r>
              <w:rPr>
                <w:rFonts w:hint="eastAsia" w:ascii="仿宋_GB2312" w:hAnsi="仿宋_GB2312" w:eastAsia="仿宋_GB2312" w:cs="仿宋_GB2312"/>
                <w:sz w:val="28"/>
                <w:szCs w:val="28"/>
                <w:highlight w:val="none"/>
              </w:rPr>
              <w:t>可参考排污许可－水污染物排放－排污口，格式（113.123456），最多6位小数。</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（8）纬度：</w:t>
            </w:r>
            <w:r>
              <w:rPr>
                <w:rFonts w:hint="eastAsia" w:ascii="仿宋_GB2312" w:hAnsi="仿宋_GB2312" w:eastAsia="仿宋_GB2312" w:cs="仿宋_GB2312"/>
                <w:sz w:val="28"/>
                <w:szCs w:val="28"/>
                <w:highlight w:val="none"/>
              </w:rPr>
              <w:t>可参考排污许可－水污染物排放－排污口，格式（23.123456），最多6位小数。</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（9）许可排放浓度（mg/L）：</w:t>
            </w:r>
            <w:r>
              <w:rPr>
                <w:rFonts w:hint="eastAsia" w:ascii="仿宋_GB2312" w:hAnsi="仿宋_GB2312" w:eastAsia="仿宋_GB2312" w:cs="仿宋_GB2312"/>
                <w:sz w:val="28"/>
                <w:szCs w:val="28"/>
                <w:highlight w:val="none"/>
              </w:rPr>
              <w:t>可参考排污许可－水污染物排放。</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（10）许可排放总量（t）：</w:t>
            </w:r>
            <w:r>
              <w:rPr>
                <w:rFonts w:hint="eastAsia" w:ascii="仿宋_GB2312" w:hAnsi="仿宋_GB2312" w:eastAsia="仿宋_GB2312" w:cs="仿宋_GB2312"/>
                <w:sz w:val="28"/>
                <w:szCs w:val="28"/>
                <w:highlight w:val="none"/>
              </w:rPr>
              <w:t>可参考排污许可－水污染物排放。</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（11）实际排放浓度－平均值（mg/L）：</w:t>
            </w:r>
            <w:r>
              <w:rPr>
                <w:rFonts w:hint="eastAsia" w:ascii="仿宋_GB2312" w:hAnsi="仿宋_GB2312" w:eastAsia="仿宋_GB2312" w:cs="仿宋_GB2312"/>
                <w:sz w:val="28"/>
                <w:szCs w:val="28"/>
                <w:highlight w:val="none"/>
              </w:rPr>
              <w:t>可参考年度执行报告或企业废水检测报告。未检出浓度可填写“未检出”</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（12）实际排放总量（t）：</w:t>
            </w:r>
            <w:r>
              <w:rPr>
                <w:rFonts w:hint="eastAsia" w:ascii="仿宋_GB2312" w:hAnsi="仿宋_GB2312" w:eastAsia="仿宋_GB2312" w:cs="仿宋_GB2312"/>
                <w:sz w:val="28"/>
                <w:szCs w:val="28"/>
                <w:highlight w:val="none"/>
              </w:rPr>
              <w:t>可参考年度执行报告或检测报告。</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（13）执行标准：</w:t>
            </w:r>
            <w:r>
              <w:rPr>
                <w:rFonts w:hint="eastAsia" w:ascii="仿宋_GB2312" w:hAnsi="仿宋_GB2312" w:eastAsia="仿宋_GB2312" w:cs="仿宋_GB2312"/>
                <w:sz w:val="28"/>
                <w:szCs w:val="28"/>
                <w:highlight w:val="none"/>
              </w:rPr>
              <w:t>可参考排污许可证上对应执行标准。</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（14）是否安装在线设备：</w:t>
            </w:r>
            <w:r>
              <w:rPr>
                <w:rFonts w:hint="eastAsia" w:ascii="仿宋_GB2312" w:hAnsi="仿宋_GB2312" w:eastAsia="仿宋_GB2312" w:cs="仿宋_GB2312"/>
                <w:sz w:val="28"/>
                <w:szCs w:val="28"/>
                <w:highlight w:val="none"/>
              </w:rPr>
              <w:t>选择项“是/否”。</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（15）在线设备是否联网：</w:t>
            </w:r>
            <w:r>
              <w:rPr>
                <w:rFonts w:hint="eastAsia" w:ascii="仿宋_GB2312" w:hAnsi="仿宋_GB2312" w:eastAsia="仿宋_GB2312" w:cs="仿宋_GB2312"/>
                <w:sz w:val="28"/>
                <w:szCs w:val="28"/>
                <w:highlight w:val="none"/>
              </w:rPr>
              <w:t>选择项“是/否”。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6.3.3大气污染物排放信息</w:t>
            </w:r>
          </w:p>
          <w:p>
            <w:pPr>
              <w:ind w:firstLine="560"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可按照排放口添加，也可按照污染物种类进行添加，具体数据按照排污许可证副本、在线监测数据及第三方检测报告填写。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557520" cy="3265170"/>
                  <wp:effectExtent l="0" t="0" r="5080" b="11430"/>
                  <wp:docPr id="8" name="图片 8" descr="af8d6d5c884e95ee6456528b463b286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af8d6d5c884e95ee6456528b463b286e"/>
                          <pic:cNvPicPr>
                            <a:picLocks noChangeAspect="true"/>
                          </pic:cNvPicPr>
                        </pic:nvPicPr>
                        <pic:blipFill>
                          <a:blip r:embed="rId42"/>
                          <a:stretch>
                            <a:fillRect/>
                          </a:stretch>
                        </pic:blipFill>
                        <pic:spPr>
                          <a:xfrm>
                            <a:off x="0" y="0"/>
                            <a:ext cx="5557520" cy="32651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8856"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（1）新增：</w:t>
            </w:r>
            <w:r>
              <w:rPr>
                <w:rFonts w:hint="eastAsia" w:ascii="仿宋_GB2312" w:hAnsi="仿宋_GB2312" w:eastAsia="仿宋_GB2312" w:cs="仿宋_GB2312"/>
                <w:sz w:val="28"/>
                <w:szCs w:val="28"/>
                <w:highlight w:val="none"/>
              </w:rPr>
              <w:t>可参考排污许可证填报，根据各个废气排放口排放的污染物新增行数（一个污染物指标填报一行）。</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（2）排放口编号：</w:t>
            </w:r>
            <w:r>
              <w:rPr>
                <w:rFonts w:hint="eastAsia" w:ascii="仿宋_GB2312" w:hAnsi="仿宋_GB2312" w:eastAsia="仿宋_GB2312" w:cs="仿宋_GB2312"/>
                <w:sz w:val="28"/>
                <w:szCs w:val="28"/>
                <w:highlight w:val="none"/>
              </w:rPr>
              <w:t>可参考排污许可－大气污染物排放－排放口填报。</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（3）排放口名称：</w:t>
            </w:r>
            <w:r>
              <w:rPr>
                <w:rFonts w:hint="eastAsia" w:ascii="仿宋_GB2312" w:hAnsi="仿宋_GB2312" w:eastAsia="仿宋_GB2312" w:cs="仿宋_GB2312"/>
                <w:sz w:val="28"/>
                <w:szCs w:val="28"/>
                <w:highlight w:val="none"/>
              </w:rPr>
              <w:t>可参考排污许可－大气污染物排放－排放口填报。</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（4）污染物种类：</w:t>
            </w:r>
            <w:r>
              <w:rPr>
                <w:rFonts w:hint="eastAsia" w:ascii="仿宋_GB2312" w:hAnsi="仿宋_GB2312" w:eastAsia="仿宋_GB2312" w:cs="仿宋_GB2312"/>
                <w:sz w:val="28"/>
                <w:szCs w:val="28"/>
                <w:highlight w:val="none"/>
              </w:rPr>
              <w:t>可参考《大气污染物名称代码HJ524-2009》填写。</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（5）污染物：</w:t>
            </w:r>
            <w:r>
              <w:rPr>
                <w:rFonts w:hint="eastAsia" w:ascii="仿宋_GB2312" w:hAnsi="仿宋_GB2312" w:eastAsia="仿宋_GB2312" w:cs="仿宋_GB2312"/>
                <w:sz w:val="28"/>
                <w:szCs w:val="28"/>
                <w:highlight w:val="none"/>
              </w:rPr>
              <w:t>选择项，可多选。</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（6）经度：</w:t>
            </w:r>
            <w:r>
              <w:rPr>
                <w:rFonts w:hint="eastAsia" w:ascii="仿宋_GB2312" w:hAnsi="仿宋_GB2312" w:eastAsia="仿宋_GB2312" w:cs="仿宋_GB2312"/>
                <w:sz w:val="28"/>
                <w:szCs w:val="28"/>
                <w:highlight w:val="none"/>
              </w:rPr>
              <w:t>可参考排污许可－排污口，如113.123456，最多6个小数位。</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（7）纬度：</w:t>
            </w:r>
            <w:r>
              <w:rPr>
                <w:rFonts w:hint="eastAsia" w:ascii="仿宋_GB2312" w:hAnsi="仿宋_GB2312" w:eastAsia="仿宋_GB2312" w:cs="仿宋_GB2312"/>
                <w:sz w:val="28"/>
                <w:szCs w:val="28"/>
                <w:highlight w:val="none"/>
              </w:rPr>
              <w:t>可参考排污许可－排污口，如23.123456，最多6个小数位。</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（8）许可排放浓度（mg/m³）：</w:t>
            </w:r>
            <w:r>
              <w:rPr>
                <w:rFonts w:hint="eastAsia" w:ascii="仿宋_GB2312" w:hAnsi="仿宋_GB2312" w:eastAsia="仿宋_GB2312" w:cs="仿宋_GB2312"/>
                <w:sz w:val="28"/>
                <w:szCs w:val="28"/>
                <w:highlight w:val="none"/>
              </w:rPr>
              <w:t>可参考排污许可－大气污染物排放的相关内容填报。</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（9）许可排放总量（t）：</w:t>
            </w:r>
            <w:r>
              <w:rPr>
                <w:rFonts w:hint="eastAsia" w:ascii="仿宋_GB2312" w:hAnsi="仿宋_GB2312" w:eastAsia="仿宋_GB2312" w:cs="仿宋_GB2312"/>
                <w:sz w:val="28"/>
                <w:szCs w:val="28"/>
                <w:highlight w:val="none"/>
              </w:rPr>
              <w:t>可参考排污许可－大气污染物排放的相关内容填报。</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（10）实际排放浓度－平均值（mg/m³）：</w:t>
            </w:r>
            <w:r>
              <w:rPr>
                <w:rFonts w:hint="eastAsia" w:ascii="仿宋_GB2312" w:hAnsi="仿宋_GB2312" w:eastAsia="仿宋_GB2312" w:cs="仿宋_GB2312"/>
                <w:sz w:val="28"/>
                <w:szCs w:val="28"/>
                <w:highlight w:val="none"/>
              </w:rPr>
              <w:t>可参考年度执行报告或检测报告填报。</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（11）实际排放总量（t）：</w:t>
            </w:r>
            <w:r>
              <w:rPr>
                <w:rFonts w:hint="eastAsia" w:ascii="仿宋_GB2312" w:hAnsi="仿宋_GB2312" w:eastAsia="仿宋_GB2312" w:cs="仿宋_GB2312"/>
                <w:sz w:val="28"/>
                <w:szCs w:val="28"/>
                <w:highlight w:val="none"/>
              </w:rPr>
              <w:t>可参考年度执行报告或废气检测报告填报。</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（12）执行标准：</w:t>
            </w:r>
            <w:r>
              <w:rPr>
                <w:rFonts w:hint="eastAsia" w:ascii="仿宋_GB2312" w:hAnsi="仿宋_GB2312" w:eastAsia="仿宋_GB2312" w:cs="仿宋_GB2312"/>
                <w:sz w:val="28"/>
                <w:szCs w:val="28"/>
                <w:highlight w:val="none"/>
              </w:rPr>
              <w:t>可参考排污许可－大气污染物排放对应执行标准填报。</w:t>
            </w:r>
          </w:p>
          <w:p>
            <w:pPr>
              <w:ind w:firstLine="562"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（13）是否安装在线设备：</w:t>
            </w:r>
            <w:r>
              <w:rPr>
                <w:rFonts w:hint="eastAsia" w:ascii="仿宋_GB2312" w:hAnsi="仿宋_GB2312" w:eastAsia="仿宋_GB2312" w:cs="仿宋_GB2312"/>
                <w:sz w:val="28"/>
                <w:szCs w:val="28"/>
                <w:highlight w:val="none"/>
              </w:rPr>
              <w:t>选择项，可选择“是/否”。</w:t>
            </w:r>
          </w:p>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（14）在线设备是否联网：</w:t>
            </w:r>
            <w:r>
              <w:rPr>
                <w:rFonts w:hint="eastAsia" w:ascii="仿宋_GB2312" w:hAnsi="仿宋_GB2312" w:eastAsia="仿宋_GB2312" w:cs="仿宋_GB2312"/>
                <w:sz w:val="28"/>
                <w:szCs w:val="28"/>
                <w:highlight w:val="none"/>
              </w:rPr>
              <w:t>选择项，可选择“是/否”。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6.3.4无组织排放信息</w:t>
            </w:r>
          </w:p>
          <w:p>
            <w:pPr>
              <w:ind w:firstLine="560" w:firstLineChars="200"/>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按照排污许可证副本及自行监测报告进行填写。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jc w:val="left"/>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486400" cy="2574290"/>
                  <wp:effectExtent l="0" t="0" r="0" b="16510"/>
                  <wp:docPr id="39" name="图片 39" descr="709f17bcaf62013e28f25e98348e82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709f17bcaf62013e28f25e98348e8276"/>
                          <pic:cNvPicPr>
                            <a:picLocks noChangeAspect="true"/>
                          </pic:cNvPicPr>
                        </pic:nvPicPr>
                        <pic:blipFill>
                          <a:blip r:embed="rId43"/>
                          <a:stretch>
                            <a:fillRect/>
                          </a:stretch>
                        </pic:blipFill>
                        <pic:spPr>
                          <a:xfrm>
                            <a:off x="0" y="0"/>
                            <a:ext cx="5486400" cy="25742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（1）监测点位编码：</w:t>
            </w:r>
            <w:r>
              <w:rPr>
                <w:rFonts w:hint="eastAsia" w:ascii="仿宋_GB2312" w:hAnsi="仿宋_GB2312" w:eastAsia="仿宋_GB2312" w:cs="仿宋_GB2312"/>
                <w:sz w:val="28"/>
                <w:szCs w:val="28"/>
                <w:highlight w:val="none"/>
              </w:rPr>
              <w:t>可参考排污许可－环境管理要求－自行监测填报。</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（2）监测点位名称：</w:t>
            </w:r>
            <w:r>
              <w:rPr>
                <w:rFonts w:hint="eastAsia" w:ascii="仿宋_GB2312" w:hAnsi="仿宋_GB2312" w:eastAsia="仿宋_GB2312" w:cs="仿宋_GB2312"/>
                <w:sz w:val="28"/>
                <w:szCs w:val="28"/>
                <w:highlight w:val="none"/>
              </w:rPr>
              <w:t>可参考排污许可－环境管理要求－自行监测填报。</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（3）监测污染物：</w:t>
            </w:r>
            <w:r>
              <w:rPr>
                <w:rFonts w:hint="eastAsia" w:ascii="仿宋_GB2312" w:hAnsi="仿宋_GB2312" w:eastAsia="仿宋_GB2312" w:cs="仿宋_GB2312"/>
                <w:sz w:val="28"/>
                <w:szCs w:val="28"/>
                <w:highlight w:val="none"/>
              </w:rPr>
              <w:t>可多选，可参考排污许可－环境管理要求－自行监测填报。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（4）许可排放小时浓度（mg/Nm³）：</w:t>
            </w:r>
            <w:r>
              <w:rPr>
                <w:rFonts w:hint="eastAsia" w:ascii="仿宋_GB2312" w:hAnsi="仿宋_GB2312" w:eastAsia="仿宋_GB2312" w:cs="仿宋_GB2312"/>
                <w:sz w:val="28"/>
                <w:szCs w:val="28"/>
                <w:highlight w:val="none"/>
              </w:rPr>
              <w:t>可参考排污许可－无组织排放许可条件填报。</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（5）许可排放总量（t/a）：</w:t>
            </w:r>
            <w:r>
              <w:rPr>
                <w:rFonts w:hint="eastAsia" w:ascii="仿宋_GB2312" w:hAnsi="仿宋_GB2312" w:eastAsia="仿宋_GB2312" w:cs="仿宋_GB2312"/>
                <w:sz w:val="28"/>
                <w:szCs w:val="28"/>
                <w:highlight w:val="none"/>
              </w:rPr>
              <w:t>可参考排污许可－无组织排放许可条件填报。</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（6）实际排放总量（t/a）：</w:t>
            </w:r>
            <w:r>
              <w:rPr>
                <w:rFonts w:hint="eastAsia" w:ascii="仿宋_GB2312" w:hAnsi="仿宋_GB2312" w:eastAsia="仿宋_GB2312" w:cs="仿宋_GB2312"/>
                <w:sz w:val="28"/>
                <w:szCs w:val="28"/>
                <w:highlight w:val="none"/>
              </w:rPr>
              <w:t>可参考年度执行报告或检测报告填报。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（7）实际排放浓度－平均值（mg/Nm³）：</w:t>
            </w:r>
            <w:r>
              <w:rPr>
                <w:rFonts w:hint="eastAsia" w:ascii="仿宋_GB2312" w:hAnsi="仿宋_GB2312" w:eastAsia="仿宋_GB2312" w:cs="仿宋_GB2312"/>
                <w:sz w:val="28"/>
                <w:szCs w:val="28"/>
                <w:highlight w:val="none"/>
              </w:rPr>
              <w:t>可参考年度执行报告或检测报告填报。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（8）执行标准：</w:t>
            </w:r>
            <w:r>
              <w:rPr>
                <w:rFonts w:hint="eastAsia" w:ascii="仿宋_GB2312" w:hAnsi="仿宋_GB2312" w:eastAsia="仿宋_GB2312" w:cs="仿宋_GB2312"/>
                <w:sz w:val="28"/>
                <w:szCs w:val="28"/>
                <w:highlight w:val="none"/>
              </w:rPr>
              <w:t>可参考排污许可－无组织排放许可条件填报。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（9）监测点位名称：</w:t>
            </w:r>
            <w:r>
              <w:rPr>
                <w:rFonts w:hint="eastAsia" w:ascii="仿宋_GB2312" w:hAnsi="仿宋_GB2312" w:eastAsia="仿宋_GB2312" w:cs="仿宋_GB2312"/>
                <w:sz w:val="28"/>
                <w:szCs w:val="28"/>
                <w:highlight w:val="none"/>
              </w:rPr>
              <w:t>可参考排污许可－环境管理要求－自行监测填报。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（10）污染物种类：</w:t>
            </w:r>
            <w:r>
              <w:rPr>
                <w:rFonts w:hint="eastAsia" w:ascii="仿宋_GB2312" w:hAnsi="仿宋_GB2312" w:eastAsia="仿宋_GB2312" w:cs="仿宋_GB2312"/>
                <w:sz w:val="28"/>
                <w:szCs w:val="28"/>
                <w:highlight w:val="none"/>
              </w:rPr>
              <w:t>可多选，参考排污许可－环境管理要求－自行监测填报。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（11）检测次数：</w:t>
            </w:r>
            <w:r>
              <w:rPr>
                <w:rFonts w:hint="eastAsia" w:ascii="仿宋_GB2312" w:hAnsi="仿宋_GB2312" w:eastAsia="仿宋_GB2312" w:cs="仿宋_GB2312"/>
                <w:sz w:val="28"/>
                <w:szCs w:val="28"/>
                <w:highlight w:val="none"/>
              </w:rPr>
              <w:t>可参考年度执行报告或检测报告填报。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（12）达标次数：</w:t>
            </w:r>
            <w:r>
              <w:rPr>
                <w:rFonts w:hint="eastAsia" w:ascii="仿宋_GB2312" w:hAnsi="仿宋_GB2312" w:eastAsia="仿宋_GB2312" w:cs="仿宋_GB2312"/>
                <w:sz w:val="28"/>
                <w:szCs w:val="28"/>
                <w:highlight w:val="none"/>
              </w:rPr>
              <w:t>可参考年度执行报告或检测报告填报。</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（13）超标次数：</w:t>
            </w:r>
            <w:r>
              <w:rPr>
                <w:rFonts w:hint="eastAsia" w:ascii="仿宋_GB2312" w:hAnsi="仿宋_GB2312" w:eastAsia="仿宋_GB2312" w:cs="仿宋_GB2312"/>
                <w:sz w:val="28"/>
                <w:szCs w:val="28"/>
                <w:highlight w:val="none"/>
              </w:rPr>
              <w:t>可参考年度执行报告或检测报告填报。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6.4工业固体废物信息</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6.4.1一般工业固体废物信息</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般工业固体废物包括冶炼废渣、粉煤灰、炉渣、煤矸石、尾矿、脱硫石膏、污泥、放射性废物、赤泥、磷石膏、其他废物等。需注意数量间的逻辑关系。产生量＝利用处置量+综合利用量+贮存量+丢弃量；需注意区分名词概念。贮存，是指将固体废物临时置于特定设施或者场所中的活动；利用，是指从固体废物中提取物质作为原材料或者燃料的活动；处置，是指将固体废物焚烧和用其他改变固体废物的物理、化学、生物特性的方法，达到减少已产生的固体废物数量、缩小固体废物体积、减少或者消除其危险成分的活动，或者将固体废物最终置于符合环境保护规定要求的填埋场的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474970" cy="2636520"/>
                  <wp:effectExtent l="0" t="0" r="11430" b="11430"/>
                  <wp:docPr id="40" name="图片 40" descr="f38d39c88bedffaa6e2452c53eb7e13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f38d39c88bedffaa6e2452c53eb7e13a"/>
                          <pic:cNvPicPr>
                            <a:picLocks noChangeAspect="true"/>
                          </pic:cNvPicPr>
                        </pic:nvPicPr>
                        <pic:blipFill>
                          <a:blip r:embed="rId44"/>
                          <a:stretch>
                            <a:fillRect/>
                          </a:stretch>
                        </pic:blipFill>
                        <pic:spPr>
                          <a:xfrm>
                            <a:off x="0" y="0"/>
                            <a:ext cx="5474970" cy="26365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（1）概述：</w:t>
            </w:r>
            <w:r>
              <w:rPr>
                <w:rFonts w:hint="eastAsia" w:ascii="仿宋_GB2312" w:hAnsi="仿宋_GB2312" w:eastAsia="仿宋_GB2312" w:cs="仿宋_GB2312"/>
                <w:sz w:val="28"/>
                <w:szCs w:val="28"/>
                <w:highlight w:val="none"/>
              </w:rPr>
              <w:t>例“2025年，本企业共产生一般工业固体废物5种共300吨，贮存量10吨，利用处置290吨。”</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（2）名称：</w:t>
            </w:r>
            <w:r>
              <w:rPr>
                <w:rFonts w:hint="eastAsia" w:ascii="仿宋_GB2312" w:hAnsi="仿宋_GB2312" w:eastAsia="仿宋_GB2312" w:cs="仿宋_GB2312"/>
                <w:sz w:val="28"/>
                <w:szCs w:val="28"/>
                <w:highlight w:val="none"/>
              </w:rPr>
              <w:t>可参考排污许可－固体废物排放信息填报。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（3）种类：</w:t>
            </w:r>
            <w:r>
              <w:rPr>
                <w:rFonts w:hint="eastAsia" w:ascii="仿宋_GB2312" w:hAnsi="仿宋_GB2312" w:eastAsia="仿宋_GB2312" w:cs="仿宋_GB2312"/>
                <w:sz w:val="28"/>
                <w:szCs w:val="28"/>
                <w:highlight w:val="none"/>
              </w:rPr>
              <w:t>可参考排污许可－固体废物排放信息或《固体废物分类名录》填报。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（4）成分：</w:t>
            </w:r>
            <w:r>
              <w:rPr>
                <w:rFonts w:hint="eastAsia" w:ascii="仿宋_GB2312" w:hAnsi="仿宋_GB2312" w:eastAsia="仿宋_GB2312" w:cs="仿宋_GB2312"/>
                <w:sz w:val="28"/>
                <w:szCs w:val="28"/>
                <w:highlight w:val="none"/>
              </w:rPr>
              <w:t>按实际情况填写。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（5）等级：</w:t>
            </w:r>
            <w:r>
              <w:rPr>
                <w:rFonts w:hint="eastAsia" w:ascii="仿宋_GB2312" w:hAnsi="仿宋_GB2312" w:eastAsia="仿宋_GB2312" w:cs="仿宋_GB2312"/>
                <w:sz w:val="28"/>
                <w:szCs w:val="28"/>
                <w:highlight w:val="none"/>
              </w:rPr>
              <w:t>选择项，可选择“Ⅰ类一般工业固体废物/Ⅱ类一般工业固体废物”，分类依据参考《排污许可证申请与核发技术规范工业固体废物（试行）》。</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（6）产生量（t）：</w:t>
            </w:r>
            <w:r>
              <w:rPr>
                <w:rFonts w:hint="eastAsia" w:ascii="仿宋_GB2312" w:hAnsi="仿宋_GB2312" w:eastAsia="仿宋_GB2312" w:cs="仿宋_GB2312"/>
                <w:sz w:val="28"/>
                <w:szCs w:val="28"/>
                <w:highlight w:val="none"/>
              </w:rPr>
              <w:t>2025年年度产生量。</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（7）贮存量（t）：</w:t>
            </w:r>
            <w:r>
              <w:rPr>
                <w:rFonts w:hint="eastAsia" w:ascii="仿宋_GB2312" w:hAnsi="仿宋_GB2312" w:eastAsia="仿宋_GB2312" w:cs="仿宋_GB2312"/>
                <w:sz w:val="28"/>
                <w:szCs w:val="28"/>
                <w:highlight w:val="none"/>
              </w:rPr>
              <w:t>2025年年度贮存量。</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（8）利用处置量（t）：</w:t>
            </w:r>
            <w:r>
              <w:rPr>
                <w:rFonts w:hint="eastAsia" w:ascii="仿宋_GB2312" w:hAnsi="仿宋_GB2312" w:eastAsia="仿宋_GB2312" w:cs="仿宋_GB2312"/>
                <w:sz w:val="28"/>
                <w:szCs w:val="28"/>
                <w:highlight w:val="none"/>
              </w:rPr>
              <w:t>2025年年度利用处置量。（按“处置量”填写）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（9）综合利用量（t）：</w:t>
            </w:r>
            <w:r>
              <w:rPr>
                <w:rFonts w:hint="eastAsia" w:ascii="仿宋_GB2312" w:hAnsi="仿宋_GB2312" w:eastAsia="仿宋_GB2312" w:cs="仿宋_GB2312"/>
                <w:sz w:val="28"/>
                <w:szCs w:val="28"/>
                <w:highlight w:val="none"/>
              </w:rPr>
              <w:t>2025年年度综合利用量。（按“利用量”填写）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（10）处置方式：</w:t>
            </w:r>
            <w:r>
              <w:rPr>
                <w:rFonts w:hint="eastAsia" w:ascii="仿宋_GB2312" w:hAnsi="仿宋_GB2312" w:eastAsia="仿宋_GB2312" w:cs="仿宋_GB2312"/>
                <w:sz w:val="28"/>
                <w:szCs w:val="28"/>
                <w:highlight w:val="none"/>
              </w:rPr>
              <w:t>选择项，可选择“自行贮存/自行处置/委托处置/其他”</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（11）其他处置方式：</w:t>
            </w:r>
            <w:r>
              <w:rPr>
                <w:rFonts w:hint="eastAsia" w:ascii="仿宋_GB2312" w:hAnsi="仿宋_GB2312" w:eastAsia="仿宋_GB2312" w:cs="仿宋_GB2312"/>
                <w:sz w:val="28"/>
                <w:szCs w:val="28"/>
                <w:highlight w:val="none"/>
              </w:rPr>
              <w:t>如在【处置方式】填写其他，则需要在此空格进行说明，否则填“/”。</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（12）综合利用方式：</w:t>
            </w:r>
            <w:r>
              <w:rPr>
                <w:rFonts w:hint="eastAsia" w:ascii="仿宋_GB2312" w:hAnsi="仿宋_GB2312" w:eastAsia="仿宋_GB2312" w:cs="仿宋_GB2312"/>
                <w:sz w:val="28"/>
                <w:szCs w:val="28"/>
                <w:highlight w:val="none"/>
              </w:rPr>
              <w:t>选择项，可选择“自行利用/委托利用/其他”。</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（13）其它综合利用方式：</w:t>
            </w:r>
            <w:r>
              <w:rPr>
                <w:rFonts w:hint="eastAsia" w:ascii="仿宋_GB2312" w:hAnsi="仿宋_GB2312" w:eastAsia="仿宋_GB2312" w:cs="仿宋_GB2312"/>
                <w:sz w:val="28"/>
                <w:szCs w:val="28"/>
                <w:highlight w:val="none"/>
              </w:rPr>
              <w:t>如在【综合利用方式】填写其他，则需要在此空格进行说明，否则填“/”。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6.4.2一般工业固体废物贮存、处置场所或设施信息</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参考排污许可－固体废物排放信息或广东固体废物信息管理平台进行填报。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478780" cy="1185545"/>
                  <wp:effectExtent l="0" t="0" r="7620" b="14605"/>
                  <wp:docPr id="41" name="图片 41" descr="82c6d8edf70c3ca824235eca9d1e43e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82c6d8edf70c3ca824235eca9d1e43e4"/>
                          <pic:cNvPicPr>
                            <a:picLocks noChangeAspect="true"/>
                          </pic:cNvPicPr>
                        </pic:nvPicPr>
                        <pic:blipFill>
                          <a:blip r:embed="rId45"/>
                          <a:stretch>
                            <a:fillRect/>
                          </a:stretch>
                        </pic:blipFill>
                        <pic:spPr>
                          <a:xfrm>
                            <a:off x="0" y="0"/>
                            <a:ext cx="5478780" cy="11855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w:t>
            </w:r>
            <w:r>
              <w:rPr>
                <w:rFonts w:ascii="仿宋_GB2312" w:hAnsi="仿宋_GB2312" w:eastAsia="仿宋_GB2312" w:cs="仿宋_GB2312"/>
                <w:b/>
                <w:bCs/>
                <w:sz w:val="28"/>
                <w:szCs w:val="28"/>
                <w:highlight w:val="none"/>
                <w:lang w:val="en"/>
              </w:rPr>
              <w:t>示例</w:t>
            </w:r>
            <w:r>
              <w:rPr>
                <w:rFonts w:hint="eastAsia" w:ascii="仿宋_GB2312" w:hAnsi="仿宋_GB2312" w:eastAsia="仿宋_GB2312" w:cs="仿宋_GB2312"/>
                <w:b/>
                <w:bCs/>
                <w:sz w:val="28"/>
                <w:szCs w:val="28"/>
                <w:highlight w:val="none"/>
              </w:rPr>
              <w:t>】</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（1）废物名称：</w:t>
            </w:r>
            <w:r>
              <w:rPr>
                <w:rFonts w:hint="eastAsia" w:ascii="仿宋_GB2312" w:hAnsi="仿宋_GB2312" w:eastAsia="仿宋_GB2312" w:cs="仿宋_GB2312"/>
                <w:sz w:val="28"/>
                <w:szCs w:val="28"/>
                <w:highlight w:val="none"/>
              </w:rPr>
              <w:t>可参考“表1一般工业固体废物基础信息表”填报。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（2）贮存/处置：</w:t>
            </w:r>
            <w:r>
              <w:rPr>
                <w:rFonts w:hint="eastAsia" w:ascii="仿宋_GB2312" w:hAnsi="仿宋_GB2312" w:eastAsia="仿宋_GB2312" w:cs="仿宋_GB2312"/>
                <w:sz w:val="28"/>
                <w:szCs w:val="28"/>
                <w:highlight w:val="none"/>
              </w:rPr>
              <w:t>选择项，可选择“贮存/处置”。</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（3）类型：</w:t>
            </w:r>
            <w:r>
              <w:rPr>
                <w:rFonts w:hint="eastAsia" w:ascii="仿宋_GB2312" w:hAnsi="仿宋_GB2312" w:eastAsia="仿宋_GB2312" w:cs="仿宋_GB2312"/>
                <w:sz w:val="28"/>
                <w:szCs w:val="28"/>
                <w:highlight w:val="none"/>
              </w:rPr>
              <w:t>按实际贮存/处置场所类型填报。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（4）面积：</w:t>
            </w:r>
            <w:r>
              <w:rPr>
                <w:rFonts w:hint="eastAsia" w:ascii="仿宋_GB2312" w:hAnsi="仿宋_GB2312" w:eastAsia="仿宋_GB2312" w:cs="仿宋_GB2312"/>
                <w:sz w:val="28"/>
                <w:szCs w:val="28"/>
                <w:highlight w:val="none"/>
              </w:rPr>
              <w:t>可参考排污许可－固体废物排放信息填报。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（5）累计贮存量（t）：</w:t>
            </w:r>
            <w:r>
              <w:rPr>
                <w:rFonts w:hint="eastAsia" w:ascii="仿宋_GB2312" w:hAnsi="仿宋_GB2312" w:eastAsia="仿宋_GB2312" w:cs="仿宋_GB2312"/>
                <w:sz w:val="28"/>
                <w:szCs w:val="28"/>
                <w:highlight w:val="none"/>
              </w:rPr>
              <w:t>累计实际贮存总量，包括从开始经营截至2025年底的贮存量。</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（6）设计处置能力(t)：</w:t>
            </w:r>
            <w:r>
              <w:rPr>
                <w:rFonts w:hint="eastAsia" w:ascii="仿宋_GB2312" w:hAnsi="仿宋_GB2312" w:eastAsia="仿宋_GB2312" w:cs="仿宋_GB2312"/>
                <w:sz w:val="28"/>
                <w:szCs w:val="28"/>
                <w:highlight w:val="none"/>
              </w:rPr>
              <w:t>设施可贮存/处置一般工业固体废物的最大量。若为贮存场所或设施，填写可贮存一般工业固体废物的最大量；若为处置场所或设施，按设施实际处置工业固体废物情况填写。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（7）经度：</w:t>
            </w:r>
            <w:r>
              <w:rPr>
                <w:rFonts w:hint="eastAsia" w:ascii="仿宋_GB2312" w:hAnsi="仿宋_GB2312" w:eastAsia="仿宋_GB2312" w:cs="仿宋_GB2312"/>
                <w:sz w:val="28"/>
                <w:szCs w:val="28"/>
                <w:highlight w:val="none"/>
              </w:rPr>
              <w:t>参考排污许可－固体废物排放信息中的经度填报。</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（8）纬度：</w:t>
            </w:r>
            <w:r>
              <w:rPr>
                <w:rFonts w:hint="eastAsia" w:ascii="仿宋_GB2312" w:hAnsi="仿宋_GB2312" w:eastAsia="仿宋_GB2312" w:cs="仿宋_GB2312"/>
                <w:sz w:val="28"/>
                <w:szCs w:val="28"/>
                <w:highlight w:val="none"/>
              </w:rPr>
              <w:t>参考排污许可－固体废物排放信息中的纬度填报。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6.4.3一般工业固体废物委托外单位利用处置信息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481320" cy="1920875"/>
                  <wp:effectExtent l="0" t="0" r="5080" b="3175"/>
                  <wp:docPr id="42" name="图片 42" descr="9a3e91851c79613a3a1f76c5d18bc0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9a3e91851c79613a3a1f76c5d18bc023"/>
                          <pic:cNvPicPr>
                            <a:picLocks noChangeAspect="true"/>
                          </pic:cNvPicPr>
                        </pic:nvPicPr>
                        <pic:blipFill>
                          <a:blip r:embed="rId46"/>
                          <a:stretch>
                            <a:fillRect/>
                          </a:stretch>
                        </pic:blipFill>
                        <pic:spPr>
                          <a:xfrm>
                            <a:off x="0" y="0"/>
                            <a:ext cx="5481320" cy="19208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（1）受委托方名称：</w:t>
            </w:r>
            <w:r>
              <w:rPr>
                <w:rFonts w:hint="eastAsia" w:ascii="仿宋_GB2312" w:hAnsi="仿宋_GB2312" w:eastAsia="仿宋_GB2312" w:cs="仿宋_GB2312"/>
                <w:sz w:val="28"/>
                <w:szCs w:val="28"/>
                <w:highlight w:val="none"/>
              </w:rPr>
              <w:t>中文名称。</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（2）受委托方资格：</w:t>
            </w:r>
            <w:r>
              <w:rPr>
                <w:rFonts w:hint="eastAsia" w:ascii="仿宋_GB2312" w:hAnsi="仿宋_GB2312" w:eastAsia="仿宋_GB2312" w:cs="仿宋_GB2312"/>
                <w:sz w:val="28"/>
                <w:szCs w:val="28"/>
                <w:highlight w:val="none"/>
              </w:rPr>
              <w:t>受委托方营业执照统一社会信用代码。</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（3）设计处置能力：</w:t>
            </w:r>
            <w:r>
              <w:rPr>
                <w:rFonts w:hint="eastAsia" w:ascii="仿宋_GB2312" w:hAnsi="仿宋_GB2312" w:eastAsia="仿宋_GB2312" w:cs="仿宋_GB2312"/>
                <w:sz w:val="28"/>
                <w:szCs w:val="28"/>
                <w:highlight w:val="none"/>
              </w:rPr>
              <w:t>结合受委托方设计处置一般固体废物情况填写。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（4）固废运输情况：</w:t>
            </w:r>
            <w:r>
              <w:rPr>
                <w:rFonts w:hint="eastAsia" w:ascii="仿宋_GB2312" w:hAnsi="仿宋_GB2312" w:eastAsia="仿宋_GB2312" w:cs="仿宋_GB2312"/>
                <w:sz w:val="28"/>
                <w:szCs w:val="28"/>
                <w:highlight w:val="none"/>
              </w:rPr>
              <w:t>填写受委托单位运输固废的具体方式，结合实际填写运输过程的具体情况。例“公路/铁路/水路”。</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（5）固废利用情况：</w:t>
            </w:r>
            <w:r>
              <w:rPr>
                <w:rFonts w:hint="eastAsia" w:ascii="仿宋_GB2312" w:hAnsi="仿宋_GB2312" w:eastAsia="仿宋_GB2312" w:cs="仿宋_GB2312"/>
                <w:sz w:val="28"/>
                <w:szCs w:val="28"/>
                <w:highlight w:val="none"/>
              </w:rPr>
              <w:t>结合实际情况，简要描述利用技术路线和利用产物。</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（6）固废处置情况：</w:t>
            </w:r>
            <w:r>
              <w:rPr>
                <w:rFonts w:hint="eastAsia" w:ascii="仿宋_GB2312" w:hAnsi="仿宋_GB2312" w:eastAsia="仿宋_GB2312" w:cs="仿宋_GB2312"/>
                <w:sz w:val="28"/>
                <w:szCs w:val="28"/>
                <w:highlight w:val="none"/>
              </w:rPr>
              <w:t>结合实际情况，如选择焚烧、填埋、其他处置方式。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6.4.4危险废物基础信息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475605" cy="1521460"/>
                  <wp:effectExtent l="0" t="0" r="10795" b="2540"/>
                  <wp:docPr id="43" name="图片 43" descr="2068b7594b82fbdb5b77688c5700d5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2068b7594b82fbdb5b77688c5700d590"/>
                          <pic:cNvPicPr>
                            <a:picLocks noChangeAspect="true"/>
                          </pic:cNvPicPr>
                        </pic:nvPicPr>
                        <pic:blipFill>
                          <a:blip r:embed="rId47"/>
                          <a:stretch>
                            <a:fillRect/>
                          </a:stretch>
                        </pic:blipFill>
                        <pic:spPr>
                          <a:xfrm>
                            <a:off x="0" y="0"/>
                            <a:ext cx="5475605" cy="15214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（1）危险废物名称：</w:t>
            </w:r>
            <w:r>
              <w:rPr>
                <w:rFonts w:hint="eastAsia" w:ascii="仿宋_GB2312" w:hAnsi="仿宋_GB2312" w:eastAsia="仿宋_GB2312" w:cs="仿宋_GB2312"/>
                <w:sz w:val="28"/>
                <w:szCs w:val="28"/>
                <w:highlight w:val="none"/>
              </w:rPr>
              <w:t>参考排污许可－固体废物排放信息</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（2）危险废物代码：</w:t>
            </w:r>
            <w:r>
              <w:rPr>
                <w:rFonts w:hint="eastAsia" w:ascii="仿宋_GB2312" w:hAnsi="仿宋_GB2312" w:eastAsia="仿宋_GB2312" w:cs="仿宋_GB2312"/>
                <w:sz w:val="28"/>
                <w:szCs w:val="28"/>
                <w:highlight w:val="none"/>
              </w:rPr>
              <w:t>参考排污许可－固体废物排放信息</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（3）主要有害成分：</w:t>
            </w:r>
            <w:r>
              <w:rPr>
                <w:rFonts w:hint="eastAsia" w:ascii="仿宋_GB2312" w:hAnsi="仿宋_GB2312" w:eastAsia="仿宋_GB2312" w:cs="仿宋_GB2312"/>
                <w:sz w:val="28"/>
                <w:szCs w:val="28"/>
                <w:highlight w:val="none"/>
              </w:rPr>
              <w:t>有害成分指危险废物中对环境有害的主要污染物名称，如苯系物、氰化物、砷等（每种废物可包含多种有害成分）</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（4）危险特性：</w:t>
            </w:r>
            <w:r>
              <w:rPr>
                <w:rFonts w:hint="eastAsia" w:ascii="仿宋_GB2312" w:hAnsi="仿宋_GB2312" w:eastAsia="仿宋_GB2312" w:cs="仿宋_GB2312"/>
                <w:sz w:val="28"/>
                <w:szCs w:val="28"/>
                <w:highlight w:val="none"/>
              </w:rPr>
              <w:t>参考排污许可－固体废物排放信息</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（5）产生量（t）：</w:t>
            </w:r>
            <w:r>
              <w:rPr>
                <w:rFonts w:hint="eastAsia" w:ascii="仿宋_GB2312" w:hAnsi="仿宋_GB2312" w:eastAsia="仿宋_GB2312" w:cs="仿宋_GB2312"/>
                <w:sz w:val="28"/>
                <w:szCs w:val="28"/>
                <w:highlight w:val="none"/>
              </w:rPr>
              <w:t>2025年年度产生量。</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（6）贮存量（t）：</w:t>
            </w:r>
            <w:r>
              <w:rPr>
                <w:rFonts w:hint="eastAsia" w:ascii="仿宋_GB2312" w:hAnsi="仿宋_GB2312" w:eastAsia="仿宋_GB2312" w:cs="仿宋_GB2312"/>
                <w:sz w:val="28"/>
                <w:szCs w:val="28"/>
                <w:highlight w:val="none"/>
              </w:rPr>
              <w:t>2025年年度贮存量。</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（7）综合利用方式：</w:t>
            </w:r>
            <w:r>
              <w:rPr>
                <w:rFonts w:hint="eastAsia" w:ascii="仿宋_GB2312" w:hAnsi="仿宋_GB2312" w:eastAsia="仿宋_GB2312" w:cs="仿宋_GB2312"/>
                <w:sz w:val="28"/>
                <w:szCs w:val="28"/>
                <w:highlight w:val="none"/>
              </w:rPr>
              <w:t>利用方式包括：1、作为燃料（直接燃烧除外）或以其他方式产生能量，2、溶剂回收/再生（如蒸馏、萃取等），3、再循环/再利用不是用作溶剂的有机物，4、再循环/再利用金属和金属化合物，5、再循环/再利用其他无机物，6、再生酸或碱，7、回收污染减除剂的组分，8、回收催化剂组分，9、废油再提炼或其他废油的再利用，10、其他；等。</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（8）综合利用量（t）：</w:t>
            </w:r>
            <w:r>
              <w:rPr>
                <w:rFonts w:hint="eastAsia" w:ascii="仿宋_GB2312" w:hAnsi="仿宋_GB2312" w:eastAsia="仿宋_GB2312" w:cs="仿宋_GB2312"/>
                <w:sz w:val="28"/>
                <w:szCs w:val="28"/>
                <w:highlight w:val="none"/>
              </w:rPr>
              <w:t>企业2025年综合利用危险废物数量。</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（9）累计贮存量（t）：</w:t>
            </w:r>
            <w:r>
              <w:rPr>
                <w:rFonts w:hint="eastAsia" w:ascii="仿宋_GB2312" w:hAnsi="仿宋_GB2312" w:eastAsia="仿宋_GB2312" w:cs="仿宋_GB2312"/>
                <w:sz w:val="28"/>
                <w:szCs w:val="28"/>
                <w:highlight w:val="none"/>
              </w:rPr>
              <w:t>累计实际贮存总量，包括从开始经营截至2025年底的贮存量。</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（10）处置量（t）：</w:t>
            </w:r>
            <w:r>
              <w:rPr>
                <w:rFonts w:hint="eastAsia" w:ascii="仿宋_GB2312" w:hAnsi="仿宋_GB2312" w:eastAsia="仿宋_GB2312" w:cs="仿宋_GB2312"/>
                <w:sz w:val="28"/>
                <w:szCs w:val="28"/>
                <w:highlight w:val="none"/>
              </w:rPr>
              <w:t>2025年年度处置量。</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（11）处置方式：</w:t>
            </w:r>
            <w:r>
              <w:rPr>
                <w:rFonts w:hint="eastAsia" w:ascii="仿宋_GB2312" w:hAnsi="仿宋_GB2312" w:eastAsia="仿宋_GB2312" w:cs="仿宋_GB2312"/>
                <w:sz w:val="28"/>
                <w:szCs w:val="28"/>
                <w:highlight w:val="none"/>
              </w:rPr>
              <w:t>选择项“自行贮存/自行处置/委托处置/其它”。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6.4.5危险废物贮存、处置场所或设施信息</w:t>
            </w:r>
          </w:p>
          <w:p>
            <w:pPr>
              <w:ind w:firstLine="560"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按照实际情况添加贮存、处置设施；面积及经纬度。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479415" cy="1286510"/>
                  <wp:effectExtent l="0" t="0" r="6985" b="8890"/>
                  <wp:docPr id="44" name="图片 44" descr="5dff587be408e6b534e6fc9984f900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5dff587be408e6b534e6fc9984f90042"/>
                          <pic:cNvPicPr>
                            <a:picLocks noChangeAspect="true"/>
                          </pic:cNvPicPr>
                        </pic:nvPicPr>
                        <pic:blipFill>
                          <a:blip r:embed="rId48"/>
                          <a:stretch>
                            <a:fillRect/>
                          </a:stretch>
                        </pic:blipFill>
                        <pic:spPr>
                          <a:xfrm>
                            <a:off x="0" y="0"/>
                            <a:ext cx="5479415" cy="1286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（1）危险废物名称：</w:t>
            </w:r>
            <w:r>
              <w:rPr>
                <w:rFonts w:hint="eastAsia" w:ascii="仿宋_GB2312" w:hAnsi="仿宋_GB2312" w:eastAsia="仿宋_GB2312" w:cs="仿宋_GB2312"/>
                <w:sz w:val="28"/>
                <w:szCs w:val="28"/>
                <w:highlight w:val="none"/>
              </w:rPr>
              <w:t>与“表1危险废物基础信息表”保持一致。</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（2）贮存/处置：</w:t>
            </w:r>
            <w:r>
              <w:rPr>
                <w:rFonts w:hint="eastAsia" w:ascii="仿宋_GB2312" w:hAnsi="仿宋_GB2312" w:eastAsia="仿宋_GB2312" w:cs="仿宋_GB2312"/>
                <w:sz w:val="28"/>
                <w:szCs w:val="28"/>
                <w:highlight w:val="none"/>
              </w:rPr>
              <w:t>选择项，选择“贮存/处置”。</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（3）面积（㎡）：</w:t>
            </w:r>
            <w:r>
              <w:rPr>
                <w:rFonts w:hint="eastAsia" w:ascii="仿宋_GB2312" w:hAnsi="仿宋_GB2312" w:eastAsia="仿宋_GB2312" w:cs="仿宋_GB2312"/>
                <w:sz w:val="28"/>
                <w:szCs w:val="28"/>
                <w:highlight w:val="none"/>
              </w:rPr>
              <w:t>可参考排污许可－固体废物排放信息。</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（4）累计贮存量（t）：</w:t>
            </w:r>
            <w:r>
              <w:rPr>
                <w:rFonts w:hint="eastAsia" w:ascii="仿宋_GB2312" w:hAnsi="仿宋_GB2312" w:eastAsia="仿宋_GB2312" w:cs="仿宋_GB2312"/>
                <w:sz w:val="28"/>
                <w:szCs w:val="28"/>
                <w:highlight w:val="none"/>
              </w:rPr>
              <w:t>累计实际贮存总量，包括从开始经营截至2025年底的贮存量。</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（5）经度：</w:t>
            </w:r>
            <w:r>
              <w:rPr>
                <w:rFonts w:hint="eastAsia" w:ascii="仿宋_GB2312" w:hAnsi="仿宋_GB2312" w:eastAsia="仿宋_GB2312" w:cs="仿宋_GB2312"/>
                <w:sz w:val="28"/>
                <w:szCs w:val="28"/>
                <w:highlight w:val="none"/>
              </w:rPr>
              <w:t>参考排污许可－固体废物排放信息中的经度填报。</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（6）纬度：</w:t>
            </w:r>
            <w:r>
              <w:rPr>
                <w:rFonts w:hint="eastAsia" w:ascii="仿宋_GB2312" w:hAnsi="仿宋_GB2312" w:eastAsia="仿宋_GB2312" w:cs="仿宋_GB2312"/>
                <w:sz w:val="28"/>
                <w:szCs w:val="28"/>
                <w:highlight w:val="none"/>
              </w:rPr>
              <w:t>参考排污许可－固体废物排放信息中的纬度填报。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6.4.6危险废物委托外单位利用处置信息</w:t>
            </w:r>
          </w:p>
          <w:p>
            <w:pPr>
              <w:ind w:firstLine="560"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添加危废处理单位名称、危废经营许可证、危废运输许可证等资质信息。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481955" cy="1809115"/>
                  <wp:effectExtent l="0" t="0" r="4445" b="635"/>
                  <wp:docPr id="45" name="图片 45" descr="7bbd853ba6cf0a1b7a6ceb600ed95fe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7bbd853ba6cf0a1b7a6ceb600ed95fe3"/>
                          <pic:cNvPicPr>
                            <a:picLocks noChangeAspect="true"/>
                          </pic:cNvPicPr>
                        </pic:nvPicPr>
                        <pic:blipFill>
                          <a:blip r:embed="rId49"/>
                          <a:stretch>
                            <a:fillRect/>
                          </a:stretch>
                        </pic:blipFill>
                        <pic:spPr>
                          <a:xfrm>
                            <a:off x="0" y="0"/>
                            <a:ext cx="5481955" cy="18091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（1）新增：</w:t>
            </w:r>
            <w:r>
              <w:rPr>
                <w:rFonts w:hint="eastAsia" w:ascii="仿宋_GB2312" w:hAnsi="仿宋_GB2312" w:eastAsia="仿宋_GB2312" w:cs="仿宋_GB2312"/>
                <w:sz w:val="28"/>
                <w:szCs w:val="28"/>
                <w:highlight w:val="none"/>
              </w:rPr>
              <w:t>若委托多家单位，需填报所有危险废物委托单位信息。</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（2）危险废物名称：</w:t>
            </w:r>
            <w:r>
              <w:rPr>
                <w:rFonts w:hint="eastAsia" w:ascii="仿宋_GB2312" w:hAnsi="仿宋_GB2312" w:eastAsia="仿宋_GB2312" w:cs="仿宋_GB2312"/>
                <w:sz w:val="28"/>
                <w:szCs w:val="28"/>
                <w:highlight w:val="none"/>
              </w:rPr>
              <w:t>与危险废物信息表保持一致</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（3）受托方名称：</w:t>
            </w:r>
            <w:r>
              <w:rPr>
                <w:rFonts w:hint="eastAsia" w:ascii="仿宋_GB2312" w:hAnsi="仿宋_GB2312" w:eastAsia="仿宋_GB2312" w:cs="仿宋_GB2312"/>
                <w:sz w:val="28"/>
                <w:szCs w:val="28"/>
                <w:highlight w:val="none"/>
              </w:rPr>
              <w:t>中文名称</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（4）受托方资质证书号：</w:t>
            </w:r>
            <w:r>
              <w:rPr>
                <w:rFonts w:hint="eastAsia" w:ascii="仿宋_GB2312" w:hAnsi="仿宋_GB2312" w:eastAsia="仿宋_GB2312" w:cs="仿宋_GB2312"/>
                <w:sz w:val="28"/>
                <w:szCs w:val="28"/>
                <w:highlight w:val="none"/>
              </w:rPr>
              <w:t>受委托方危险废物经营许可证编号</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（5）危险废物转移联单：</w:t>
            </w:r>
            <w:r>
              <w:rPr>
                <w:rFonts w:hint="eastAsia" w:ascii="仿宋_GB2312" w:hAnsi="仿宋_GB2312" w:eastAsia="仿宋_GB2312" w:cs="仿宋_GB2312"/>
                <w:sz w:val="28"/>
                <w:szCs w:val="28"/>
                <w:highlight w:val="none"/>
              </w:rPr>
              <w:t>上传项，保存数据后方可上传文件（上传2025年度所有转移联单）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6.5有毒有害物质排放信息</w:t>
            </w:r>
          </w:p>
          <w:p>
            <w:pPr>
              <w:ind w:firstLine="640" w:firstLineChars="200"/>
              <w:rPr>
                <w:rFonts w:hint="eastAsia" w:ascii="仿宋_GB2312" w:hAnsi="仿宋_GB2312" w:eastAsia="仿宋_GB2312" w:cs="仿宋_GB2312"/>
                <w:b/>
                <w:bCs/>
                <w:sz w:val="28"/>
                <w:szCs w:val="28"/>
                <w:highlight w:val="none"/>
              </w:rPr>
            </w:pPr>
            <w:r>
              <w:rPr>
                <w:rFonts w:ascii="仿宋_GB2312" w:hAnsi="仿宋_GB2312" w:eastAsia="仿宋_GB2312" w:cs="仿宋_GB2312"/>
                <w:sz w:val="32"/>
                <w:szCs w:val="32"/>
                <w:highlight w:val="none"/>
              </w:rPr>
              <w:t>根据</w:t>
            </w:r>
            <w:r>
              <w:rPr>
                <w:rFonts w:hint="eastAsia" w:ascii="仿宋_GB2312" w:hAnsi="仿宋_GB2312" w:eastAsia="仿宋_GB2312" w:cs="仿宋_GB2312"/>
                <w:sz w:val="32"/>
                <w:szCs w:val="32"/>
                <w:highlight w:val="none"/>
              </w:rPr>
              <w:t>公司实际排放污染物，对照</w:t>
            </w:r>
            <w:r>
              <w:rPr>
                <w:rFonts w:ascii="仿宋_GB2312" w:hAnsi="仿宋_GB2312" w:eastAsia="仿宋_GB2312" w:cs="仿宋_GB2312"/>
                <w:sz w:val="32"/>
                <w:szCs w:val="32"/>
                <w:highlight w:val="none"/>
              </w:rPr>
              <w:t>《有毒有害大气污染物名录》《有毒有害水污染物名录》《优先控制化学品名录》等披露</w:t>
            </w:r>
            <w:r>
              <w:rPr>
                <w:rFonts w:hint="eastAsia" w:ascii="仿宋_GB2312" w:hAnsi="仿宋_GB2312" w:eastAsia="仿宋_GB2312" w:cs="仿宋_GB2312"/>
                <w:sz w:val="32"/>
                <w:szCs w:val="32"/>
                <w:highlight w:val="none"/>
              </w:rPr>
              <w:t>固体、液体、气体有毒有害物质。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476875" cy="2117725"/>
                  <wp:effectExtent l="0" t="0" r="9525" b="15875"/>
                  <wp:docPr id="46" name="图片 46" descr="a8b3c74e8294edcb1ce86bb2848fa73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a8b3c74e8294edcb1ce86bb2848fa73d"/>
                          <pic:cNvPicPr>
                            <a:picLocks noChangeAspect="true"/>
                          </pic:cNvPicPr>
                        </pic:nvPicPr>
                        <pic:blipFill>
                          <a:blip r:embed="rId50"/>
                          <a:stretch>
                            <a:fillRect/>
                          </a:stretch>
                        </pic:blipFill>
                        <pic:spPr>
                          <a:xfrm>
                            <a:off x="0" y="0"/>
                            <a:ext cx="5476875" cy="21177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（1）概述：</w:t>
            </w:r>
            <w:r>
              <w:rPr>
                <w:rFonts w:hint="eastAsia" w:ascii="仿宋_GB2312" w:hAnsi="仿宋_GB2312" w:eastAsia="仿宋_GB2312" w:cs="仿宋_GB2312"/>
                <w:sz w:val="28"/>
                <w:szCs w:val="28"/>
                <w:highlight w:val="none"/>
              </w:rPr>
              <w:t>例：2025年，本企业生产环节共涉及产生有毒有害物质x种，排放有毒有害物质x种，其中xx排放量最大，排放量x吨。</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（2）名称：</w:t>
            </w:r>
            <w:r>
              <w:rPr>
                <w:rFonts w:hint="eastAsia" w:ascii="仿宋_GB2312" w:hAnsi="仿宋_GB2312" w:eastAsia="仿宋_GB2312" w:cs="仿宋_GB2312"/>
                <w:sz w:val="28"/>
                <w:szCs w:val="28"/>
                <w:highlight w:val="none"/>
              </w:rPr>
              <w:t>有毒有害物质中文名称。</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（3）形态（固、液、气体）：</w:t>
            </w:r>
            <w:r>
              <w:rPr>
                <w:rFonts w:hint="eastAsia" w:ascii="仿宋_GB2312" w:hAnsi="仿宋_GB2312" w:eastAsia="仿宋_GB2312" w:cs="仿宋_GB2312"/>
                <w:sz w:val="28"/>
                <w:szCs w:val="28"/>
                <w:highlight w:val="none"/>
              </w:rPr>
              <w:t>选择项“液态/气态/固态”。</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（4）毒性：</w:t>
            </w:r>
            <w:r>
              <w:rPr>
                <w:rFonts w:hint="eastAsia" w:ascii="仿宋_GB2312" w:hAnsi="仿宋_GB2312" w:eastAsia="仿宋_GB2312" w:cs="仿宋_GB2312"/>
                <w:sz w:val="28"/>
                <w:szCs w:val="28"/>
                <w:highlight w:val="none"/>
              </w:rPr>
              <w:t>根据有毒有害物质的毒性填报。</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（5）排放浓度（液：mg/L，气：mg/m³）：</w:t>
            </w:r>
            <w:r>
              <w:rPr>
                <w:rFonts w:hint="eastAsia" w:ascii="仿宋_GB2312" w:hAnsi="仿宋_GB2312" w:eastAsia="仿宋_GB2312" w:cs="仿宋_GB2312"/>
                <w:sz w:val="28"/>
                <w:szCs w:val="28"/>
                <w:highlight w:val="none"/>
              </w:rPr>
              <w:t>有毒有害物质排放浓度。</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（6）处置方式：</w:t>
            </w:r>
            <w:r>
              <w:rPr>
                <w:rFonts w:hint="eastAsia" w:ascii="仿宋_GB2312" w:hAnsi="仿宋_GB2312" w:eastAsia="仿宋_GB2312" w:cs="仿宋_GB2312"/>
                <w:sz w:val="28"/>
                <w:szCs w:val="28"/>
                <w:highlight w:val="none"/>
              </w:rPr>
              <w:t>选择项“自行贮存/自行处置/委托处置/其它”。</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（7）排放总量（kg）：</w:t>
            </w:r>
            <w:r>
              <w:rPr>
                <w:rFonts w:hint="eastAsia" w:ascii="仿宋_GB2312" w:hAnsi="仿宋_GB2312" w:eastAsia="仿宋_GB2312" w:cs="仿宋_GB2312"/>
                <w:sz w:val="28"/>
                <w:szCs w:val="28"/>
                <w:highlight w:val="none"/>
              </w:rPr>
              <w:t>2025年内排放有毒有害物质总量。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6.6噪声排放信息</w:t>
            </w:r>
          </w:p>
          <w:p>
            <w:pPr>
              <w:ind w:firstLine="560"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参考排污许可证或检测报告名称填写。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486400" cy="1618615"/>
                  <wp:effectExtent l="0" t="0" r="0" b="635"/>
                  <wp:docPr id="47" name="图片 47" descr="acdbee9ca8ce3a28ddb449afea79e57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acdbee9ca8ce3a28ddb449afea79e57e"/>
                          <pic:cNvPicPr>
                            <a:picLocks noChangeAspect="true"/>
                          </pic:cNvPicPr>
                        </pic:nvPicPr>
                        <pic:blipFill>
                          <a:blip r:embed="rId51"/>
                          <a:stretch>
                            <a:fillRect/>
                          </a:stretch>
                        </pic:blipFill>
                        <pic:spPr>
                          <a:xfrm>
                            <a:off x="0" y="0"/>
                            <a:ext cx="5486400" cy="16186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（1）监测点位名称：</w:t>
            </w:r>
            <w:r>
              <w:rPr>
                <w:rFonts w:hint="eastAsia" w:ascii="仿宋_GB2312" w:hAnsi="仿宋_GB2312" w:eastAsia="仿宋_GB2312" w:cs="仿宋_GB2312"/>
                <w:sz w:val="28"/>
                <w:szCs w:val="28"/>
                <w:highlight w:val="none"/>
              </w:rPr>
              <w:t>参考排污许可或检测报告名称填写。</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（2）检测位置：</w:t>
            </w:r>
            <w:r>
              <w:rPr>
                <w:rFonts w:hint="eastAsia" w:ascii="仿宋_GB2312" w:hAnsi="仿宋_GB2312" w:eastAsia="仿宋_GB2312" w:cs="仿宋_GB2312"/>
                <w:sz w:val="28"/>
                <w:szCs w:val="28"/>
                <w:highlight w:val="none"/>
              </w:rPr>
              <w:t>参考检测报告检测位置填写。</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（3）检测时段：</w:t>
            </w:r>
            <w:r>
              <w:rPr>
                <w:rFonts w:hint="eastAsia" w:ascii="仿宋_GB2312" w:hAnsi="仿宋_GB2312" w:eastAsia="仿宋_GB2312" w:cs="仿宋_GB2312"/>
                <w:sz w:val="28"/>
                <w:szCs w:val="28"/>
                <w:highlight w:val="none"/>
              </w:rPr>
              <w:t>参考检测报告检测时段填写。</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（4）昼间排放限值（分贝）：</w:t>
            </w:r>
            <w:r>
              <w:rPr>
                <w:rFonts w:hint="eastAsia" w:ascii="仿宋_GB2312" w:hAnsi="仿宋_GB2312" w:eastAsia="仿宋_GB2312" w:cs="仿宋_GB2312"/>
                <w:sz w:val="28"/>
                <w:szCs w:val="28"/>
                <w:highlight w:val="none"/>
              </w:rPr>
              <w:t>参考排污许可－噪声排放信息。</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（5）昼间实际排放值（分贝）：</w:t>
            </w:r>
            <w:r>
              <w:rPr>
                <w:rFonts w:hint="eastAsia" w:ascii="仿宋_GB2312" w:hAnsi="仿宋_GB2312" w:eastAsia="仿宋_GB2312" w:cs="仿宋_GB2312"/>
                <w:sz w:val="28"/>
                <w:szCs w:val="28"/>
                <w:highlight w:val="none"/>
              </w:rPr>
              <w:t>参考检测报告或年度执行报告填写。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（6）夜间排放限值（分贝）：</w:t>
            </w:r>
            <w:r>
              <w:rPr>
                <w:rFonts w:hint="eastAsia" w:ascii="仿宋_GB2312" w:hAnsi="仿宋_GB2312" w:eastAsia="仿宋_GB2312" w:cs="仿宋_GB2312"/>
                <w:sz w:val="28"/>
                <w:szCs w:val="28"/>
                <w:highlight w:val="none"/>
              </w:rPr>
              <w:t>参考排污许可－噪声排放信息。</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（7）夜间实际排放值（分贝）：</w:t>
            </w:r>
            <w:r>
              <w:rPr>
                <w:rFonts w:hint="eastAsia" w:ascii="仿宋_GB2312" w:hAnsi="仿宋_GB2312" w:eastAsia="仿宋_GB2312" w:cs="仿宋_GB2312"/>
                <w:sz w:val="28"/>
                <w:szCs w:val="28"/>
                <w:highlight w:val="none"/>
              </w:rPr>
              <w:t>参考监测报告或年度执行报告填写。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（8）执行标准名称：</w:t>
            </w:r>
            <w:r>
              <w:rPr>
                <w:rFonts w:hint="eastAsia" w:ascii="仿宋_GB2312" w:hAnsi="仿宋_GB2312" w:eastAsia="仿宋_GB2312" w:cs="仿宋_GB2312"/>
                <w:sz w:val="28"/>
                <w:szCs w:val="28"/>
                <w:highlight w:val="none"/>
              </w:rPr>
              <w:t>参考排污许可－噪声排放信息对应标准，例“工业企业厂界环境噪声排放标准”。</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（9）执行标准编码：</w:t>
            </w:r>
            <w:r>
              <w:rPr>
                <w:rFonts w:hint="eastAsia" w:ascii="仿宋_GB2312" w:hAnsi="仿宋_GB2312" w:eastAsia="仿宋_GB2312" w:cs="仿宋_GB2312"/>
                <w:sz w:val="28"/>
                <w:szCs w:val="28"/>
                <w:highlight w:val="none"/>
              </w:rPr>
              <w:t>参考排污许可－噪声排放信息对应标准，例“GB12348-2008”。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6.7扬尘污染信息</w:t>
            </w:r>
          </w:p>
          <w:p>
            <w:pPr>
              <w:ind w:firstLine="560"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企业在经营过程中，可能涉及到新改扩建、污染设施施工、小颗粒物料装卸等情况，需注意在这些过程中防扬尘的问题。扬尘类型包括施工扬尘、装卸物料、土壤扬尘、道路扬尘、堆场扬尘等，可参考《防治城市扬尘污染技术规范》（HJ/T393-2007）。不涉及的企业注明不涉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475605" cy="1939925"/>
                  <wp:effectExtent l="0" t="0" r="10795" b="3175"/>
                  <wp:docPr id="48" name="图片 48" descr="85443c54cca9f867ed4cdf3610c20c2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85443c54cca9f867ed4cdf3610c20c2a"/>
                          <pic:cNvPicPr>
                            <a:picLocks noChangeAspect="true"/>
                          </pic:cNvPicPr>
                        </pic:nvPicPr>
                        <pic:blipFill>
                          <a:blip r:embed="rId52"/>
                          <a:stretch>
                            <a:fillRect/>
                          </a:stretch>
                        </pic:blipFill>
                        <pic:spPr>
                          <a:xfrm>
                            <a:off x="0" y="0"/>
                            <a:ext cx="5475605" cy="19399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（1）概述：</w:t>
            </w:r>
            <w:r>
              <w:rPr>
                <w:rFonts w:hint="eastAsia" w:ascii="仿宋_GB2312" w:hAnsi="仿宋_GB2312" w:eastAsia="仿宋_GB2312" w:cs="仿宋_GB2312"/>
                <w:sz w:val="28"/>
                <w:szCs w:val="28"/>
                <w:highlight w:val="none"/>
              </w:rPr>
              <w:t>2025年，本企业“xxxx”项目、“xxxx”项目造成扬尘污染，项目扬尘污染防治实施方案为：xxxx。装卸物料时采取的防治扬尘污染措施为：xxxx。当年度有多个项目涉及扬尘污染的，应逐条列出。</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（2）施工扬尘污染防治主要措施：</w:t>
            </w:r>
            <w:r>
              <w:rPr>
                <w:rFonts w:hint="eastAsia" w:ascii="仿宋_GB2312" w:hAnsi="仿宋_GB2312" w:eastAsia="仿宋_GB2312" w:cs="仿宋_GB2312"/>
                <w:sz w:val="28"/>
                <w:szCs w:val="28"/>
                <w:highlight w:val="none"/>
              </w:rPr>
              <w:t>根据企业实际防治措施情况填写。例：“1、现场设置喷淋设施及水管，每天安排专人对施工现场洒水清洁；2、施工作业面产生扬尘部位采用洒水降尘措施，保证扬尘落地；3、场内施工设备做好防扬尘措施，特别是喷浆机等，选用功能好的设备，并注意做好日常维护，必要时可做淋水处理。”。</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（3）装卸物料污染防治主要措施：</w:t>
            </w:r>
            <w:r>
              <w:rPr>
                <w:rFonts w:hint="eastAsia" w:ascii="仿宋_GB2312" w:hAnsi="仿宋_GB2312" w:eastAsia="仿宋_GB2312" w:cs="仿宋_GB2312"/>
                <w:sz w:val="28"/>
                <w:szCs w:val="28"/>
                <w:highlight w:val="none"/>
              </w:rPr>
              <w:t>根据企业实际防治措施情况填写。如：“1、砂石水泥等易扬尘物料集中放置，用防雨布或塑料布覆盖，施工使用时局部掀开，使用完毕后及时覆盖。2、定期检查现场覆盖情况，及时更换破损覆盖网。”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6.8排污许可执行报告信息</w:t>
            </w:r>
          </w:p>
          <w:p>
            <w:pPr>
              <w:ind w:firstLine="560"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纳入排污许可管理的企业填报此部分内容。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475605" cy="2397760"/>
                  <wp:effectExtent l="0" t="0" r="10795" b="2540"/>
                  <wp:docPr id="49" name="图片 49" descr="7d19cc3fa9b228087c6bd207a0d418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descr="7d19cc3fa9b228087c6bd207a0d41891"/>
                          <pic:cNvPicPr>
                            <a:picLocks noChangeAspect="true"/>
                          </pic:cNvPicPr>
                        </pic:nvPicPr>
                        <pic:blipFill>
                          <a:blip r:embed="rId53"/>
                          <a:stretch>
                            <a:fillRect/>
                          </a:stretch>
                        </pic:blipFill>
                        <pic:spPr>
                          <a:xfrm>
                            <a:off x="0" y="0"/>
                            <a:ext cx="5475605" cy="23977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6" w:type="dxa"/>
            <w:tcBorders>
              <w:tl2br w:val="nil"/>
              <w:tr2bl w:val="nil"/>
            </w:tcBorders>
          </w:tcPr>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（1）概述：</w:t>
            </w:r>
            <w:r>
              <w:rPr>
                <w:rFonts w:hint="eastAsia" w:ascii="仿宋_GB2312" w:hAnsi="仿宋_GB2312" w:eastAsia="仿宋_GB2312" w:cs="仿宋_GB2312"/>
                <w:sz w:val="28"/>
                <w:szCs w:val="28"/>
                <w:highlight w:val="none"/>
              </w:rPr>
              <w:t>例：“2025年，本企业按相关要求，应编制公开排污许可证执行报告17次，实际编制公开17次，其中年报1次季报4次月报12次，具体情况如下表所示。”</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（2）执行报告应编制公开次数：</w:t>
            </w:r>
            <w:r>
              <w:rPr>
                <w:rFonts w:hint="eastAsia" w:ascii="仿宋_GB2312" w:hAnsi="仿宋_GB2312" w:eastAsia="仿宋_GB2312" w:cs="仿宋_GB2312"/>
                <w:sz w:val="28"/>
                <w:szCs w:val="28"/>
                <w:highlight w:val="none"/>
              </w:rPr>
              <w:t>根据排污证要求进行填写，例“若排污许可要求企业编制年报1次季报4次，该处应填写5”。</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（3）实际编制公开次数：</w:t>
            </w:r>
            <w:r>
              <w:rPr>
                <w:rFonts w:hint="eastAsia" w:ascii="仿宋_GB2312" w:hAnsi="仿宋_GB2312" w:eastAsia="仿宋_GB2312" w:cs="仿宋_GB2312"/>
                <w:sz w:val="28"/>
                <w:szCs w:val="28"/>
                <w:highlight w:val="none"/>
              </w:rPr>
              <w:t>根据实际编制次数情况填写。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（4）发布网站：</w:t>
            </w:r>
            <w:r>
              <w:rPr>
                <w:rFonts w:hint="eastAsia" w:ascii="仿宋_GB2312" w:hAnsi="仿宋_GB2312" w:eastAsia="仿宋_GB2312" w:cs="仿宋_GB2312"/>
                <w:sz w:val="28"/>
                <w:szCs w:val="28"/>
                <w:highlight w:val="none"/>
              </w:rPr>
              <w:t>填写网址。</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（5）报告类型：</w:t>
            </w:r>
            <w:r>
              <w:rPr>
                <w:rFonts w:hint="eastAsia" w:ascii="仿宋_GB2312" w:hAnsi="仿宋_GB2312" w:eastAsia="仿宋_GB2312" w:cs="仿宋_GB2312"/>
                <w:sz w:val="28"/>
                <w:szCs w:val="28"/>
                <w:highlight w:val="none"/>
              </w:rPr>
              <w:t>选择项可多选，例“年报/季报/月报”。</w:t>
            </w:r>
          </w:p>
        </w:tc>
      </w:tr>
    </w:tbl>
    <w:p>
      <w:pPr>
        <w:rPr>
          <w:rFonts w:hint="eastAsia" w:ascii="仿宋_GB2312" w:hAnsi="仿宋_GB2312" w:eastAsia="仿宋_GB2312" w:cs="仿宋_GB2312"/>
          <w:sz w:val="32"/>
          <w:szCs w:val="32"/>
          <w:highlight w:val="none"/>
        </w:rPr>
      </w:pPr>
    </w:p>
    <w:p>
      <w:pPr>
        <w:widowControl/>
        <w:jc w:val="left"/>
        <w:rPr>
          <w:rFonts w:hint="eastAsia"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br w:type="page"/>
      </w:r>
    </w:p>
    <w:p>
      <w:pPr>
        <w:pStyle w:val="4"/>
        <w:numPr>
          <w:ilvl w:val="0"/>
          <w:numId w:val="5"/>
        </w:numPr>
        <w:rPr>
          <w:rFonts w:hint="eastAsia"/>
          <w:highlight w:val="none"/>
        </w:rPr>
      </w:pPr>
      <w:bookmarkStart w:id="49" w:name="_Toc14542"/>
      <w:bookmarkStart w:id="50" w:name="_Toc210058127"/>
      <w:bookmarkStart w:id="51" w:name="_Toc210058645"/>
      <w:bookmarkStart w:id="52" w:name="_Toc31886"/>
      <w:r>
        <w:rPr>
          <w:rFonts w:hint="eastAsia"/>
          <w:highlight w:val="none"/>
        </w:rPr>
        <w:t>碳排放信息</w:t>
      </w:r>
      <w:bookmarkEnd w:id="49"/>
      <w:bookmarkEnd w:id="50"/>
      <w:bookmarkEnd w:id="51"/>
      <w:bookmarkEnd w:id="52"/>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7.1排污许可执行报告信息</w:t>
            </w:r>
          </w:p>
          <w:p>
            <w:pPr>
              <w:widowControl/>
              <w:shd w:val="clear" w:color="auto" w:fill="FFFFFF"/>
              <w:ind w:firstLine="560" w:firstLineChars="200"/>
              <w:jc w:val="left"/>
              <w:rPr>
                <w:rFonts w:hint="eastAsia" w:ascii="仿宋_GB2312" w:hAnsi="仿宋_GB2312" w:cs="仿宋_GB2312"/>
                <w:szCs w:val="28"/>
                <w:highlight w:val="none"/>
              </w:rPr>
            </w:pPr>
            <w:r>
              <w:rPr>
                <w:rFonts w:ascii="仿宋_GB2312" w:hAnsi="仿宋_GB2312" w:eastAsia="仿宋_GB2312" w:cs="仿宋_GB2312"/>
                <w:sz w:val="28"/>
                <w:szCs w:val="28"/>
                <w:highlight w:val="none"/>
              </w:rPr>
              <w:t>深圳市碳排放相关工作有明确常规时间要求，其中碳排放核查工作每年截止日期一般为4月30日，履约截止日期一般为6月30日（</w:t>
            </w:r>
            <w:r>
              <w:rPr>
                <w:rFonts w:hint="eastAsia" w:ascii="仿宋_GB2312" w:hAnsi="仿宋_GB2312" w:eastAsia="仿宋_GB2312" w:cs="仿宋_GB2312"/>
                <w:sz w:val="28"/>
                <w:szCs w:val="28"/>
                <w:highlight w:val="none"/>
              </w:rPr>
              <w:t>具体</w:t>
            </w:r>
            <w:r>
              <w:rPr>
                <w:rFonts w:ascii="仿宋_GB2312" w:hAnsi="仿宋_GB2312" w:eastAsia="仿宋_GB2312" w:cs="仿宋_GB2312"/>
                <w:sz w:val="28"/>
                <w:szCs w:val="28"/>
                <w:highlight w:val="none"/>
              </w:rPr>
              <w:t>日期以深圳市生态环境主管部门发布的通知为准），而年度报告（年报）披露工作截止日期为每年3月15日；由于年报披露截止日早于碳排放核查截止日，企业在填报年报时可根据第三方核查工作完成情况选择数据来源，</w:t>
            </w:r>
            <w:r>
              <w:rPr>
                <w:rFonts w:ascii="仿宋_GB2312" w:hAnsi="仿宋_GB2312" w:eastAsia="仿宋_GB2312" w:cs="仿宋_GB2312"/>
                <w:b/>
                <w:bCs/>
                <w:color w:val="EE0000"/>
                <w:sz w:val="28"/>
                <w:szCs w:val="28"/>
                <w:highlight w:val="none"/>
              </w:rPr>
              <w:t>若在披露年报前已完成第三方核查，可直接按照核查报告的数据进行披露，若披露前未完成第三方核查，则可先利用自查数据填报，</w:t>
            </w:r>
            <w:r>
              <w:rPr>
                <w:rFonts w:ascii="仿宋_GB2312" w:hAnsi="仿宋_GB2312" w:eastAsia="仿宋_GB2312" w:cs="仿宋_GB2312"/>
                <w:sz w:val="28"/>
                <w:szCs w:val="28"/>
                <w:highlight w:val="none"/>
              </w:rPr>
              <w:t>后续完成核查后若需修正数据，可通过添加临时报告变更信息的方式处理。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highlight w:val="none"/>
              </w:rPr>
            </w:pPr>
            <w:r>
              <w:rPr>
                <w:rFonts w:hint="eastAsia"/>
                <w:highlight w:val="none"/>
              </w:rPr>
              <w:drawing>
                <wp:inline distT="0" distB="0" distL="114300" distR="114300">
                  <wp:extent cx="5608955" cy="2745740"/>
                  <wp:effectExtent l="0" t="0" r="10795" b="16510"/>
                  <wp:docPr id="38" name="图片 38" descr="45131462739b1204445942a9b524d75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45131462739b1204445942a9b524d75d"/>
                          <pic:cNvPicPr>
                            <a:picLocks noChangeAspect="true"/>
                          </pic:cNvPicPr>
                        </pic:nvPicPr>
                        <pic:blipFill>
                          <a:blip r:embed="rId54"/>
                          <a:stretch>
                            <a:fillRect/>
                          </a:stretch>
                        </pic:blipFill>
                        <pic:spPr>
                          <a:xfrm>
                            <a:off x="0" y="0"/>
                            <a:ext cx="5608955" cy="27457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【填报说明】</w:t>
            </w:r>
          </w:p>
          <w:p>
            <w:pPr>
              <w:ind w:firstLine="56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28"/>
                <w:szCs w:val="28"/>
                <w:highlight w:val="none"/>
              </w:rPr>
              <w:t>被纳入管理的企业，需披露碳排放相关信息。未被纳入管理的企业，可不进行相关披露。未被纳入管理的企业，若根据《组织的温室气体排放量化和报告指南》（SZDBZ69-2018）和《组织的温室气体排放核查指南》（SZDBZ70-2018）等技术规范，自愿进行企业内部碳排放量管理，并自愿委托第三方进行核查的，也可披露相关信息。</w:t>
            </w:r>
            <w:r>
              <w:rPr>
                <w:rFonts w:hint="eastAsia" w:ascii="仿宋_GB2312" w:hAnsi="仿宋_GB2312" w:eastAsia="仿宋_GB2312" w:cs="仿宋_GB2312"/>
                <w:b/>
                <w:bCs/>
                <w:color w:val="EE0000"/>
                <w:sz w:val="28"/>
                <w:szCs w:val="28"/>
                <w:highlight w:val="none"/>
              </w:rPr>
              <w:t>注意以2025年年度报告为例，“上年度”指2024年度，“本年度”指2025年度。</w:t>
            </w:r>
          </w:p>
          <w:p>
            <w:pPr>
              <w:ind w:firstLine="420" w:firstLineChars="200"/>
              <w:rPr>
                <w:rFonts w:hint="eastAsia"/>
                <w:highlight w:val="none"/>
              </w:rPr>
            </w:pPr>
          </w:p>
        </w:tc>
      </w:tr>
    </w:tbl>
    <w:p>
      <w:pPr>
        <w:rPr>
          <w:rFonts w:hint="eastAsia"/>
          <w:highlight w:val="none"/>
        </w:rPr>
      </w:pPr>
      <w:r>
        <w:rPr>
          <w:rFonts w:hint="eastAsia"/>
          <w:highlight w:val="none"/>
        </w:rPr>
        <w:br w:type="page"/>
      </w:r>
    </w:p>
    <w:p>
      <w:pPr>
        <w:pStyle w:val="4"/>
        <w:numPr>
          <w:ilvl w:val="0"/>
          <w:numId w:val="5"/>
        </w:numPr>
        <w:rPr>
          <w:rFonts w:hint="eastAsia"/>
          <w:highlight w:val="none"/>
        </w:rPr>
      </w:pPr>
      <w:bookmarkStart w:id="53" w:name="_Toc31363"/>
      <w:bookmarkStart w:id="54" w:name="_Toc210058128"/>
      <w:bookmarkStart w:id="55" w:name="_Toc210058646"/>
      <w:bookmarkStart w:id="56" w:name="_Toc12508"/>
      <w:r>
        <w:rPr>
          <w:rFonts w:hint="eastAsia"/>
          <w:highlight w:val="none"/>
        </w:rPr>
        <w:t>生态环境应急信息</w:t>
      </w:r>
      <w:bookmarkEnd w:id="53"/>
      <w:bookmarkEnd w:id="54"/>
      <w:bookmarkEnd w:id="55"/>
      <w:bookmarkEnd w:id="56"/>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bookmarkStart w:id="57" w:name="OLE_LINK4"/>
            <w:r>
              <w:rPr>
                <w:rFonts w:hint="eastAsia" w:ascii="仿宋_GB2312" w:hAnsi="仿宋_GB2312" w:eastAsia="仿宋_GB2312" w:cs="仿宋_GB2312"/>
                <w:b/>
                <w:bCs/>
                <w:sz w:val="28"/>
                <w:szCs w:val="28"/>
                <w:highlight w:val="none"/>
              </w:rPr>
              <w:t>8.1</w:t>
            </w:r>
            <w:r>
              <w:rPr>
                <w:rFonts w:ascii="仿宋_GB2312" w:hAnsi="仿宋_GB2312" w:eastAsia="仿宋_GB2312" w:cs="仿宋_GB2312"/>
                <w:b/>
                <w:bCs/>
                <w:sz w:val="28"/>
                <w:szCs w:val="28"/>
                <w:highlight w:val="none"/>
              </w:rPr>
              <w:t>应急预案信息</w:t>
            </w:r>
          </w:p>
          <w:bookmarkEnd w:id="57"/>
          <w:p>
            <w:pPr>
              <w:ind w:firstLine="560" w:firstLineChars="200"/>
              <w:rPr>
                <w:rFonts w:hint="eastAsia"/>
                <w:highlight w:val="none"/>
              </w:rPr>
            </w:pPr>
            <w:r>
              <w:rPr>
                <w:rFonts w:hint="eastAsia" w:ascii="仿宋_GB2312" w:hAnsi="仿宋_GB2312" w:eastAsia="仿宋_GB2312" w:cs="仿宋_GB2312"/>
                <w:sz w:val="28"/>
                <w:szCs w:val="28"/>
                <w:highlight w:val="none"/>
              </w:rPr>
              <w:t>按照《突发环境事件应急预案》填写备案编号、备案机关、备案时间、风险等级信息。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highlight w:val="none"/>
              </w:rPr>
            </w:pPr>
            <w:r>
              <w:rPr>
                <w:highlight w:val="none"/>
              </w:rPr>
              <w:drawing>
                <wp:inline distT="0" distB="0" distL="114300" distR="114300">
                  <wp:extent cx="5473700" cy="2384425"/>
                  <wp:effectExtent l="0" t="0" r="12700" b="15875"/>
                  <wp:docPr id="63641594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6415940" name="图片 14"/>
                          <pic:cNvPicPr>
                            <a:picLocks noChangeAspect="true" noChangeArrowheads="true"/>
                          </pic:cNvPicPr>
                        </pic:nvPicPr>
                        <pic:blipFill>
                          <a:blip r:embed="rId55">
                            <a:extLst>
                              <a:ext uri="{28A0092B-C50C-407E-A947-70E740481C1C}">
                                <a14:useLocalDpi xmlns:a14="http://schemas.microsoft.com/office/drawing/2010/main" val="false"/>
                              </a:ext>
                            </a:extLst>
                          </a:blip>
                          <a:srcRect/>
                          <a:stretch>
                            <a:fillRect/>
                          </a:stretch>
                        </pic:blipFill>
                        <pic:spPr>
                          <a:xfrm>
                            <a:off x="0" y="0"/>
                            <a:ext cx="5473700" cy="23844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（1）概述：</w:t>
            </w:r>
            <w:r>
              <w:rPr>
                <w:rFonts w:ascii="仿宋_GB2312" w:hAnsi="仿宋_GB2312" w:eastAsia="仿宋_GB2312" w:cs="仿宋_GB2312"/>
                <w:sz w:val="28"/>
                <w:szCs w:val="28"/>
                <w:highlight w:val="none"/>
              </w:rPr>
              <w:t>2022年，本企业制定突发环境事件应急预案，于2022年10月28日，</w:t>
            </w:r>
            <w:r>
              <w:rPr>
                <w:rFonts w:hint="eastAsia" w:ascii="仿宋_GB2312" w:hAnsi="仿宋_GB2312" w:eastAsia="仿宋_GB2312" w:cs="仿宋_GB2312"/>
                <w:sz w:val="28"/>
                <w:szCs w:val="28"/>
                <w:highlight w:val="none"/>
              </w:rPr>
              <w:t>向深圳市生态环境局备案，备案编号为</w:t>
            </w:r>
            <w:r>
              <w:rPr>
                <w:rFonts w:ascii="仿宋_GB2312" w:hAnsi="仿宋_GB2312" w:eastAsia="仿宋_GB2312" w:cs="仿宋_GB2312"/>
                <w:sz w:val="28"/>
                <w:szCs w:val="28"/>
                <w:highlight w:val="none"/>
              </w:rPr>
              <w:t>442000-2022-1234-M。</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（2）应急预案名称：</w:t>
            </w:r>
            <w:r>
              <w:rPr>
                <w:rFonts w:hint="eastAsia" w:ascii="仿宋_GB2312" w:hAnsi="仿宋_GB2312" w:eastAsia="仿宋_GB2312" w:cs="仿宋_GB2312"/>
                <w:sz w:val="28"/>
                <w:szCs w:val="28"/>
                <w:highlight w:val="none"/>
              </w:rPr>
              <w:t>根据“备案表”【预案名称】直接填写应急预案文本名称，若无应急预案则填“无”。</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（3）应急预案备案编号：</w:t>
            </w:r>
            <w:r>
              <w:rPr>
                <w:rFonts w:hint="eastAsia" w:ascii="仿宋_GB2312" w:hAnsi="仿宋_GB2312" w:eastAsia="仿宋_GB2312" w:cs="仿宋_GB2312"/>
                <w:sz w:val="28"/>
                <w:szCs w:val="28"/>
                <w:highlight w:val="none"/>
              </w:rPr>
              <w:t>根据“备案表”【备案编号】填写应急预案备案编号；</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（4）应急预案备案机关：</w:t>
            </w:r>
            <w:r>
              <w:rPr>
                <w:rFonts w:hint="eastAsia" w:ascii="仿宋_GB2312" w:hAnsi="仿宋_GB2312" w:eastAsia="仿宋_GB2312" w:cs="仿宋_GB2312"/>
                <w:sz w:val="28"/>
                <w:szCs w:val="28"/>
                <w:highlight w:val="none"/>
              </w:rPr>
              <w:t>根据备案受理部门实际填写。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w:t>
            </w:r>
            <w:r>
              <w:rPr>
                <w:rFonts w:ascii="仿宋_GB2312" w:hAnsi="仿宋_GB2312" w:eastAsia="仿宋_GB2312" w:cs="仿宋_GB2312"/>
                <w:b/>
                <w:bCs/>
                <w:sz w:val="28"/>
                <w:szCs w:val="28"/>
                <w:highlight w:val="none"/>
                <w:lang w:val="en"/>
              </w:rPr>
              <w:t>5</w:t>
            </w:r>
            <w:r>
              <w:rPr>
                <w:rFonts w:hint="eastAsia" w:ascii="仿宋_GB2312" w:hAnsi="仿宋_GB2312" w:eastAsia="仿宋_GB2312" w:cs="仿宋_GB2312"/>
                <w:b/>
                <w:bCs/>
                <w:sz w:val="28"/>
                <w:szCs w:val="28"/>
                <w:highlight w:val="none"/>
              </w:rPr>
              <w:t>）应急预案备案时间：</w:t>
            </w:r>
            <w:r>
              <w:rPr>
                <w:rFonts w:hint="eastAsia" w:ascii="仿宋_GB2312" w:hAnsi="仿宋_GB2312" w:eastAsia="仿宋_GB2312" w:cs="仿宋_GB2312"/>
                <w:sz w:val="28"/>
                <w:szCs w:val="28"/>
                <w:highlight w:val="none"/>
              </w:rPr>
              <w:t>根据“备案表”中实际备案时间填写。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（6）风险等级：</w:t>
            </w:r>
            <w:r>
              <w:rPr>
                <w:rFonts w:hint="eastAsia" w:ascii="仿宋_GB2312" w:hAnsi="仿宋_GB2312" w:eastAsia="仿宋_GB2312" w:cs="仿宋_GB2312"/>
                <w:sz w:val="28"/>
                <w:szCs w:val="28"/>
                <w:highlight w:val="none"/>
              </w:rPr>
              <w:t>根据“备案表”中风险级别一栏填写。如“一般突发环境事件</w:t>
            </w:r>
            <w:r>
              <w:rPr>
                <w:rFonts w:ascii="仿宋_GB2312" w:hAnsi="仿宋_GB2312" w:eastAsia="仿宋_GB2312" w:cs="仿宋_GB2312"/>
                <w:sz w:val="28"/>
                <w:szCs w:val="28"/>
                <w:highlight w:val="none"/>
              </w:rPr>
              <w:t>/较大突发环境事件/重大突发环境事件/特别重大突发环境事件”。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bookmarkStart w:id="58" w:name="OLE_LINK6"/>
            <w:r>
              <w:rPr>
                <w:rFonts w:hint="eastAsia" w:ascii="仿宋_GB2312" w:hAnsi="仿宋_GB2312" w:eastAsia="仿宋_GB2312" w:cs="仿宋_GB2312"/>
                <w:b/>
                <w:bCs/>
                <w:sz w:val="28"/>
                <w:szCs w:val="28"/>
                <w:highlight w:val="none"/>
              </w:rPr>
              <w:t>8.2风险单元信息</w:t>
            </w:r>
          </w:p>
          <w:bookmarkEnd w:id="58"/>
          <w:p>
            <w:pPr>
              <w:ind w:firstLine="560" w:firstLineChars="200"/>
              <w:rPr>
                <w:rFonts w:hint="eastAsia"/>
                <w:highlight w:val="none"/>
              </w:rPr>
            </w:pPr>
            <w:r>
              <w:rPr>
                <w:rFonts w:hint="eastAsia" w:ascii="仿宋_GB2312" w:hAnsi="仿宋_GB2312" w:eastAsia="仿宋_GB2312" w:cs="仿宋_GB2312"/>
                <w:sz w:val="28"/>
                <w:szCs w:val="28"/>
                <w:highlight w:val="none"/>
              </w:rPr>
              <w:t>环境风险单元指长期或临时生产、加工、使用或储存环境风险物质的一个（套）生产装置、设施或场所或同属一个企业且边缘距离小于500米的几个（套）生产装置、设施或场所。具体参考环境风险评估报告进行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highlight w:val="none"/>
              </w:rPr>
            </w:pPr>
            <w:r>
              <w:rPr>
                <w:highlight w:val="none"/>
              </w:rPr>
              <w:drawing>
                <wp:inline distT="0" distB="0" distL="114300" distR="114300">
                  <wp:extent cx="5511800" cy="1210945"/>
                  <wp:effectExtent l="0" t="0" r="12700" b="8255"/>
                  <wp:docPr id="2082542241" name="图片 16" descr="图形用户界面, 应用程序&#10;&#10;AI 生成的内容可能不正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82542241" name="图片 16" descr="图形用户界面, 应用程序&#10;&#10;AI 生成的内容可能不正确。"/>
                          <pic:cNvPicPr>
                            <a:picLocks noChangeAspect="true" noChangeArrowheads="true"/>
                          </pic:cNvPicPr>
                        </pic:nvPicPr>
                        <pic:blipFill>
                          <a:blip r:embed="rId56">
                            <a:extLst>
                              <a:ext uri="{28A0092B-C50C-407E-A947-70E740481C1C}">
                                <a14:useLocalDpi xmlns:a14="http://schemas.microsoft.com/office/drawing/2010/main" val="false"/>
                              </a:ext>
                            </a:extLst>
                          </a:blip>
                          <a:srcRect/>
                          <a:stretch>
                            <a:fillRect/>
                          </a:stretch>
                        </pic:blipFill>
                        <pic:spPr>
                          <a:xfrm>
                            <a:off x="0" y="0"/>
                            <a:ext cx="5511800" cy="12109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（1）风险单元名称：</w:t>
            </w:r>
            <w:r>
              <w:rPr>
                <w:rFonts w:hint="eastAsia" w:ascii="仿宋_GB2312" w:hAnsi="仿宋_GB2312" w:eastAsia="仿宋_GB2312" w:cs="仿宋_GB2312"/>
                <w:sz w:val="28"/>
                <w:szCs w:val="28"/>
                <w:highlight w:val="none"/>
              </w:rPr>
              <w:t>可查阅企业应急预案“环境风险源识别”章节部分。</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（2）主要风险物质：</w:t>
            </w:r>
            <w:r>
              <w:rPr>
                <w:rFonts w:hint="eastAsia" w:ascii="仿宋_GB2312" w:hAnsi="仿宋_GB2312" w:eastAsia="仿宋_GB2312" w:cs="仿宋_GB2312"/>
                <w:sz w:val="28"/>
                <w:szCs w:val="28"/>
                <w:highlight w:val="none"/>
              </w:rPr>
              <w:t>可查阅企业应急预案“环境风险源识别”章节部分。</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（3）最大储存量：</w:t>
            </w:r>
            <w:r>
              <w:rPr>
                <w:rFonts w:hint="eastAsia" w:ascii="仿宋_GB2312" w:hAnsi="仿宋_GB2312" w:eastAsia="仿宋_GB2312" w:cs="仿宋_GB2312"/>
                <w:sz w:val="28"/>
                <w:szCs w:val="28"/>
                <w:highlight w:val="none"/>
              </w:rPr>
              <w:t>可查阅企业应急预案“环境风险物质识别”章节。</w:t>
            </w:r>
          </w:p>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（4）临界量：</w:t>
            </w:r>
            <w:r>
              <w:rPr>
                <w:rFonts w:hint="eastAsia" w:ascii="仿宋_GB2312" w:hAnsi="仿宋_GB2312" w:eastAsia="仿宋_GB2312" w:cs="仿宋_GB2312"/>
                <w:sz w:val="28"/>
                <w:szCs w:val="28"/>
                <w:highlight w:val="none"/>
              </w:rPr>
              <w:t>可查阅企业“突发环境事件风险评估报告”中，“涉气风险物质数量与临界量比值</w:t>
            </w:r>
            <w:r>
              <w:rPr>
                <w:rFonts w:ascii="仿宋_GB2312" w:hAnsi="仿宋_GB2312" w:eastAsia="仿宋_GB2312" w:cs="仿宋_GB2312"/>
                <w:sz w:val="28"/>
                <w:szCs w:val="28"/>
                <w:highlight w:val="none"/>
              </w:rPr>
              <w:t>/涉水风险物质数量与临界量比值”。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8.3应急资源信息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834" w:type="dxa"/>
            <w:tcBorders>
              <w:tl2br w:val="nil"/>
              <w:tr2bl w:val="nil"/>
            </w:tcBorders>
          </w:tcPr>
          <w:p>
            <w:pPr>
              <w:rPr>
                <w:rFonts w:hint="eastAsia" w:ascii="仿宋_GB2312" w:hAnsi="仿宋_GB2312" w:eastAsia="仿宋_GB2312" w:cs="仿宋_GB2312"/>
                <w:b/>
                <w:bCs/>
                <w:sz w:val="28"/>
                <w:szCs w:val="28"/>
                <w:highlight w:val="none"/>
              </w:rPr>
            </w:pPr>
            <w:r>
              <w:rPr>
                <w:rFonts w:ascii="仿宋_GB2312" w:hAnsi="仿宋_GB2312" w:eastAsia="仿宋_GB2312" w:cs="仿宋_GB2312"/>
                <w:b/>
                <w:bCs/>
                <w:sz w:val="28"/>
                <w:szCs w:val="28"/>
                <w:highlight w:val="none"/>
              </w:rPr>
              <w:drawing>
                <wp:inline distT="0" distB="0" distL="114300" distR="114300">
                  <wp:extent cx="5539740" cy="1158875"/>
                  <wp:effectExtent l="0" t="0" r="3810" b="3175"/>
                  <wp:docPr id="1187639846"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7639846" name="图片 17"/>
                          <pic:cNvPicPr>
                            <a:picLocks noChangeAspect="true" noChangeArrowheads="true"/>
                          </pic:cNvPicPr>
                        </pic:nvPicPr>
                        <pic:blipFill>
                          <a:blip r:embed="rId57">
                            <a:extLst>
                              <a:ext uri="{28A0092B-C50C-407E-A947-70E740481C1C}">
                                <a14:useLocalDpi xmlns:a14="http://schemas.microsoft.com/office/drawing/2010/main" val="false"/>
                              </a:ext>
                            </a:extLst>
                          </a:blip>
                          <a:srcRect/>
                          <a:stretch>
                            <a:fillRect/>
                          </a:stretch>
                        </pic:blipFill>
                        <pic:spPr>
                          <a:xfrm>
                            <a:off x="0" y="0"/>
                            <a:ext cx="5539740" cy="11588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0"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企业应急资源信息可参考“应急设施及应急物资清单”部分进行填写。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bookmarkStart w:id="59" w:name="OLE_LINK7"/>
            <w:r>
              <w:rPr>
                <w:rFonts w:ascii="仿宋_GB2312" w:hAnsi="仿宋_GB2312" w:eastAsia="仿宋_GB2312" w:cs="仿宋_GB2312"/>
                <w:b/>
                <w:bCs/>
                <w:sz w:val="28"/>
                <w:szCs w:val="28"/>
                <w:highlight w:val="none"/>
              </w:rPr>
              <w:t>8.4突发环境事件发生与处置</w:t>
            </w:r>
            <w:bookmarkEnd w:id="59"/>
          </w:p>
          <w:p>
            <w:pPr>
              <w:ind w:firstLine="560"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如企业发生环境突发事件，如危化品、危废泄漏等，按照实际情况填写内容。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ascii="仿宋_GB2312" w:hAnsi="仿宋_GB2312" w:eastAsia="仿宋_GB2312" w:cs="仿宋_GB2312"/>
                <w:b/>
                <w:bCs/>
                <w:sz w:val="28"/>
                <w:szCs w:val="28"/>
                <w:highlight w:val="none"/>
              </w:rPr>
            </w:pPr>
            <w:r>
              <w:rPr>
                <w:rFonts w:ascii="仿宋_GB2312" w:hAnsi="仿宋_GB2312" w:eastAsia="仿宋_GB2312" w:cs="仿宋_GB2312"/>
                <w:b/>
                <w:bCs/>
                <w:sz w:val="28"/>
                <w:szCs w:val="28"/>
                <w:highlight w:val="none"/>
              </w:rPr>
              <w:drawing>
                <wp:inline distT="0" distB="0" distL="114300" distR="114300">
                  <wp:extent cx="5624830" cy="1945005"/>
                  <wp:effectExtent l="0" t="0" r="13970" b="17145"/>
                  <wp:docPr id="866239027" name="图片 19" descr="图形用户界面, 文本, 应用程序, 电子邮件&#10;&#10;AI 生成的内容可能不正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6239027" name="图片 19" descr="图形用户界面, 文本, 应用程序, 电子邮件&#10;&#10;AI 生成的内容可能不正确。"/>
                          <pic:cNvPicPr>
                            <a:picLocks noChangeAspect="true" noChangeArrowheads="true"/>
                          </pic:cNvPicPr>
                        </pic:nvPicPr>
                        <pic:blipFill>
                          <a:blip r:embed="rId58">
                            <a:extLst>
                              <a:ext uri="{28A0092B-C50C-407E-A947-70E740481C1C}">
                                <a14:useLocalDpi xmlns:a14="http://schemas.microsoft.com/office/drawing/2010/main" val="false"/>
                              </a:ext>
                            </a:extLst>
                          </a:blip>
                          <a:srcRect/>
                          <a:stretch>
                            <a:fillRect/>
                          </a:stretch>
                        </pic:blipFill>
                        <pic:spPr>
                          <a:xfrm>
                            <a:off x="0" y="0"/>
                            <a:ext cx="5624830" cy="1945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（1）概述：</w:t>
            </w:r>
            <w:r>
              <w:rPr>
                <w:rFonts w:hint="eastAsia" w:ascii="仿宋_GB2312" w:hAnsi="仿宋_GB2312" w:eastAsia="仿宋_GB2312" w:cs="仿宋_GB2312"/>
                <w:sz w:val="28"/>
                <w:szCs w:val="28"/>
                <w:highlight w:val="none"/>
              </w:rPr>
              <w:t>例：若未发生过突发环境事件，则填写“</w:t>
            </w:r>
            <w:r>
              <w:rPr>
                <w:rFonts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rPr>
              <w:t>5</w:t>
            </w:r>
            <w:r>
              <w:rPr>
                <w:rFonts w:ascii="仿宋_GB2312" w:hAnsi="仿宋_GB2312" w:eastAsia="仿宋_GB2312" w:cs="仿宋_GB2312"/>
                <w:sz w:val="28"/>
                <w:szCs w:val="28"/>
                <w:highlight w:val="none"/>
              </w:rPr>
              <w:t>年，本企业</w:t>
            </w:r>
            <w:r>
              <w:rPr>
                <w:rFonts w:hint="eastAsia" w:ascii="仿宋_GB2312" w:hAnsi="仿宋_GB2312" w:eastAsia="仿宋_GB2312" w:cs="仿宋_GB2312"/>
                <w:sz w:val="28"/>
                <w:szCs w:val="28"/>
                <w:highlight w:val="none"/>
              </w:rPr>
              <w:t>未发生突发事件”。若发生过突发环境事件，则应根据实际情况描述事件发生的起因，处置过程及结果，如“</w:t>
            </w:r>
            <w:r>
              <w:rPr>
                <w:rFonts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rPr>
              <w:t>5</w:t>
            </w:r>
            <w:r>
              <w:rPr>
                <w:rFonts w:ascii="仿宋_GB2312" w:hAnsi="仿宋_GB2312" w:eastAsia="仿宋_GB2312" w:cs="仿宋_GB2312"/>
                <w:sz w:val="28"/>
                <w:szCs w:val="28"/>
                <w:highlight w:val="none"/>
              </w:rPr>
              <w:t>年8月9日下午2时30分，我司仓储区工作人员在搬运稀释后的盐酸溶液（浓度15%）时，因手推车刹车故障导致装有20L盐酸溶液的塑料桶滑落倾倒，部分溶液泄漏至地面。现场人员第一时间穿戴防化服、防护手套和护目镜，启用仓库内应急吸附棉对泄漏液体进行覆盖吸附，同时用沙袋在泄漏区域周边筑堤，防止酸性液体扩散至周边排水沟；随后关闭仓储区附近的雨水、污水总阀门，避免泄漏液渗入地下或流入市政管网，并使用碱性中和剂（氢氧化钠溶液）对吸附后的区域进行中和处理，期间持续监测现场pH值直至恢复正常。该事件主要污染物为稀释盐酸，应急处置结束后，工作人员将使用过的吸附棉、沙袋等危险废物密封包装，转运至具备危险废物处置资质的单位进行合规处理，整个过程未造成人员受伤及周边水体、土壤污染，现场已清理完毕并恢复正常仓储作业</w:t>
            </w:r>
            <w:r>
              <w:rPr>
                <w:rFonts w:hint="eastAsia" w:ascii="仿宋_GB2312" w:hAnsi="仿宋_GB2312" w:eastAsia="仿宋_GB2312" w:cs="仿宋_GB2312"/>
                <w:sz w:val="28"/>
                <w:szCs w:val="28"/>
                <w:highlight w:val="none"/>
              </w:rPr>
              <w:t>。”</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（2）突发环境事件：</w:t>
            </w:r>
            <w:r>
              <w:rPr>
                <w:rFonts w:hint="eastAsia" w:ascii="仿宋_GB2312" w:hAnsi="仿宋_GB2312" w:eastAsia="仿宋_GB2312" w:cs="仿宋_GB2312"/>
                <w:sz w:val="28"/>
                <w:szCs w:val="28"/>
                <w:highlight w:val="none"/>
              </w:rPr>
              <w:t>描述突发环境事件类型，如火灾、储罐渗漏等。</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（3）处置情况：</w:t>
            </w:r>
            <w:r>
              <w:rPr>
                <w:rFonts w:hint="eastAsia" w:ascii="仿宋_GB2312" w:hAnsi="仿宋_GB2312" w:eastAsia="仿宋_GB2312" w:cs="仿宋_GB2312"/>
                <w:sz w:val="28"/>
                <w:szCs w:val="28"/>
                <w:highlight w:val="none"/>
              </w:rPr>
              <w:t>描述现场处置措施、过程与效果情况</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（4）发生时间：</w:t>
            </w:r>
            <w:r>
              <w:rPr>
                <w:rFonts w:hint="eastAsia" w:ascii="仿宋_GB2312" w:hAnsi="仿宋_GB2312" w:eastAsia="仿宋_GB2312" w:cs="仿宋_GB2312"/>
                <w:sz w:val="28"/>
                <w:szCs w:val="28"/>
                <w:highlight w:val="none"/>
              </w:rPr>
              <w:t>填写事件发生实际时间</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（5）发生地点：</w:t>
            </w:r>
            <w:r>
              <w:rPr>
                <w:rFonts w:hint="eastAsia" w:ascii="仿宋_GB2312" w:hAnsi="仿宋_GB2312" w:eastAsia="仿宋_GB2312" w:cs="仿宋_GB2312"/>
                <w:sz w:val="28"/>
                <w:szCs w:val="28"/>
                <w:highlight w:val="none"/>
              </w:rPr>
              <w:t>填写事件地点，如仓库、车间等。</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（6）污染物：</w:t>
            </w:r>
            <w:r>
              <w:rPr>
                <w:rFonts w:hint="eastAsia" w:ascii="仿宋_GB2312" w:hAnsi="仿宋_GB2312" w:eastAsia="仿宋_GB2312" w:cs="仿宋_GB2312"/>
                <w:sz w:val="28"/>
                <w:szCs w:val="28"/>
                <w:highlight w:val="none"/>
              </w:rPr>
              <w:t>根据事件实际情况填写。</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（7）认定等级：</w:t>
            </w:r>
            <w:r>
              <w:rPr>
                <w:rFonts w:hint="eastAsia" w:ascii="仿宋_GB2312" w:hAnsi="仿宋_GB2312" w:eastAsia="仿宋_GB2312" w:cs="仿宋_GB2312"/>
                <w:sz w:val="28"/>
                <w:szCs w:val="28"/>
                <w:highlight w:val="none"/>
              </w:rPr>
              <w:t>选择“一般突发环境事件</w:t>
            </w:r>
            <w:r>
              <w:rPr>
                <w:rFonts w:ascii="仿宋_GB2312" w:hAnsi="仿宋_GB2312" w:eastAsia="仿宋_GB2312" w:cs="仿宋_GB2312"/>
                <w:sz w:val="28"/>
                <w:szCs w:val="28"/>
                <w:highlight w:val="none"/>
              </w:rPr>
              <w:t>/较大突发环境事件/重大突发环境事件/</w:t>
            </w:r>
            <w:r>
              <w:rPr>
                <w:rFonts w:hint="eastAsia" w:ascii="仿宋_GB2312" w:hAnsi="仿宋_GB2312" w:eastAsia="仿宋_GB2312" w:cs="仿宋_GB2312"/>
                <w:sz w:val="28"/>
                <w:szCs w:val="28"/>
                <w:highlight w:val="none"/>
              </w:rPr>
              <w:t>特别重大突发环境事件”。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ascii="仿宋_GB2312" w:hAnsi="仿宋_GB2312" w:eastAsia="仿宋_GB2312" w:cs="仿宋_GB2312"/>
                <w:b/>
                <w:bCs/>
                <w:sz w:val="28"/>
                <w:szCs w:val="28"/>
                <w:highlight w:val="none"/>
              </w:rPr>
              <w:t>8.</w:t>
            </w:r>
            <w:r>
              <w:rPr>
                <w:rFonts w:hint="eastAsia" w:ascii="仿宋_GB2312" w:hAnsi="仿宋_GB2312" w:eastAsia="仿宋_GB2312" w:cs="仿宋_GB2312"/>
                <w:b/>
                <w:bCs/>
                <w:sz w:val="28"/>
                <w:szCs w:val="28"/>
                <w:highlight w:val="none"/>
              </w:rPr>
              <w:t>5重污染天气应急响应情况</w:t>
            </w:r>
          </w:p>
          <w:p>
            <w:pPr>
              <w:ind w:firstLine="560"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各企业按照生态环境部门具体通知披露重污染天气响应时段、预警分级、绩效分级、及措施执行情况。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ascii="仿宋_GB2312" w:hAnsi="仿宋_GB2312" w:eastAsia="仿宋_GB2312" w:cs="仿宋_GB2312"/>
                <w:b/>
                <w:bCs/>
                <w:sz w:val="28"/>
                <w:szCs w:val="28"/>
                <w:highlight w:val="none"/>
              </w:rPr>
            </w:pPr>
            <w:r>
              <w:rPr>
                <w:rFonts w:ascii="仿宋_GB2312" w:hAnsi="仿宋_GB2312" w:eastAsia="仿宋_GB2312" w:cs="仿宋_GB2312"/>
                <w:b/>
                <w:bCs/>
                <w:sz w:val="28"/>
                <w:szCs w:val="28"/>
                <w:highlight w:val="none"/>
              </w:rPr>
              <w:drawing>
                <wp:inline distT="0" distB="0" distL="114300" distR="114300">
                  <wp:extent cx="5568315" cy="3292475"/>
                  <wp:effectExtent l="0" t="0" r="13335" b="3175"/>
                  <wp:docPr id="1949523053"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49523053" name="图片 21"/>
                          <pic:cNvPicPr>
                            <a:picLocks noChangeAspect="true" noChangeArrowheads="true"/>
                          </pic:cNvPicPr>
                        </pic:nvPicPr>
                        <pic:blipFill>
                          <a:blip r:embed="rId59">
                            <a:extLst>
                              <a:ext uri="{28A0092B-C50C-407E-A947-70E740481C1C}">
                                <a14:useLocalDpi xmlns:a14="http://schemas.microsoft.com/office/drawing/2010/main" val="false"/>
                              </a:ext>
                            </a:extLst>
                          </a:blip>
                          <a:srcRect/>
                          <a:stretch>
                            <a:fillRect/>
                          </a:stretch>
                        </pic:blipFill>
                        <pic:spPr>
                          <a:xfrm>
                            <a:off x="0" y="0"/>
                            <a:ext cx="5568315" cy="32924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0"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t>由于广东省企业不在条例提及的相关区域内，该部分内容可填“无”。</w:t>
            </w:r>
          </w:p>
        </w:tc>
      </w:tr>
    </w:tbl>
    <w:p>
      <w:pPr>
        <w:rPr>
          <w:rFonts w:hint="eastAsia"/>
          <w:highlight w:val="none"/>
        </w:rPr>
      </w:pPr>
    </w:p>
    <w:p>
      <w:pPr>
        <w:rPr>
          <w:rFonts w:hint="eastAsia"/>
          <w:highlight w:val="none"/>
        </w:rPr>
      </w:pPr>
    </w:p>
    <w:p>
      <w:pPr>
        <w:rPr>
          <w:rFonts w:hint="eastAsia"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br w:type="page"/>
      </w:r>
    </w:p>
    <w:p>
      <w:pPr>
        <w:pStyle w:val="4"/>
        <w:numPr>
          <w:ilvl w:val="0"/>
          <w:numId w:val="5"/>
        </w:numPr>
        <w:rPr>
          <w:rFonts w:hint="eastAsia" w:ascii="仿宋_GB2312" w:hAnsi="仿宋_GB2312" w:cs="仿宋_GB2312"/>
          <w:highlight w:val="none"/>
        </w:rPr>
      </w:pPr>
      <w:bookmarkStart w:id="60" w:name="_Toc31174"/>
      <w:bookmarkStart w:id="61" w:name="_Toc210058647"/>
      <w:bookmarkStart w:id="62" w:name="_Toc210058129"/>
      <w:bookmarkStart w:id="63" w:name="_Toc16719"/>
      <w:r>
        <w:rPr>
          <w:highlight w:val="none"/>
        </w:rPr>
        <w:t>生态环境违法信息</w:t>
      </w:r>
      <w:bookmarkEnd w:id="60"/>
      <w:bookmarkEnd w:id="61"/>
      <w:bookmarkEnd w:id="62"/>
      <w:bookmarkEnd w:id="63"/>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9.1生态环境违法信息</w:t>
            </w:r>
          </w:p>
          <w:p>
            <w:pPr>
              <w:ind w:firstLine="560" w:firstLineChars="200"/>
              <w:rPr>
                <w:rFonts w:hint="eastAsia"/>
                <w:highlight w:val="none"/>
              </w:rPr>
            </w:pPr>
            <w:r>
              <w:rPr>
                <w:rFonts w:hint="eastAsia" w:ascii="仿宋_GB2312" w:hAnsi="仿宋_GB2312" w:eastAsia="仿宋_GB2312" w:cs="仿宋_GB2312"/>
                <w:sz w:val="28"/>
                <w:szCs w:val="28"/>
                <w:highlight w:val="none"/>
              </w:rPr>
              <w:t>若未收到生态环境违法信息，则填无；若有收到生态环境违法信息，企业应当将责改信息在年度报告内进行披露。如受到生态环境行政处罚或司法判决，除了进行临时报告披露外，年度报告中也需要进行汇总披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highlight w:val="none"/>
              </w:rPr>
            </w:pPr>
            <w:r>
              <w:rPr>
                <w:highlight w:val="none"/>
              </w:rPr>
              <w:drawing>
                <wp:inline distT="0" distB="0" distL="114300" distR="114300">
                  <wp:extent cx="5615940" cy="3336290"/>
                  <wp:effectExtent l="0" t="0" r="3810" b="16510"/>
                  <wp:docPr id="1862842944"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2842944" name="图片 22"/>
                          <pic:cNvPicPr>
                            <a:picLocks noChangeAspect="true" noChangeArrowheads="true"/>
                          </pic:cNvPicPr>
                        </pic:nvPicPr>
                        <pic:blipFill>
                          <a:blip r:embed="rId60">
                            <a:extLst>
                              <a:ext uri="{28A0092B-C50C-407E-A947-70E740481C1C}">
                                <a14:useLocalDpi xmlns:a14="http://schemas.microsoft.com/office/drawing/2010/main" val="false"/>
                              </a:ext>
                            </a:extLst>
                          </a:blip>
                          <a:srcRect/>
                          <a:stretch>
                            <a:fillRect/>
                          </a:stretch>
                        </pic:blipFill>
                        <pic:spPr>
                          <a:xfrm>
                            <a:off x="0" y="0"/>
                            <a:ext cx="5615940" cy="33362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w:t>
            </w:r>
            <w:r>
              <w:rPr>
                <w:rFonts w:ascii="仿宋_GB2312" w:hAnsi="仿宋_GB2312" w:eastAsia="仿宋_GB2312" w:cs="仿宋_GB2312"/>
                <w:b/>
                <w:bCs/>
                <w:sz w:val="28"/>
                <w:szCs w:val="28"/>
                <w:highlight w:val="none"/>
              </w:rPr>
              <w:t>行政处罚信息</w:t>
            </w:r>
            <w:r>
              <w:rPr>
                <w:rFonts w:hint="eastAsia" w:ascii="仿宋_GB2312" w:hAnsi="仿宋_GB2312" w:eastAsia="仿宋_GB2312" w:cs="仿宋_GB2312"/>
                <w:b/>
                <w:bCs/>
                <w:sz w:val="28"/>
                <w:szCs w:val="28"/>
                <w:highlight w:val="none"/>
              </w:rPr>
              <w:t>与</w:t>
            </w:r>
            <w:r>
              <w:rPr>
                <w:rFonts w:ascii="仿宋_GB2312" w:hAnsi="仿宋_GB2312" w:eastAsia="仿宋_GB2312" w:cs="仿宋_GB2312"/>
                <w:b/>
                <w:bCs/>
                <w:sz w:val="28"/>
                <w:szCs w:val="28"/>
                <w:highlight w:val="none"/>
              </w:rPr>
              <w:t>司法判决信息</w:t>
            </w:r>
            <w:r>
              <w:rPr>
                <w:rFonts w:hint="eastAsia" w:ascii="仿宋_GB2312" w:hAnsi="仿宋_GB2312" w:eastAsia="仿宋_GB2312" w:cs="仿宋_GB2312"/>
                <w:b/>
                <w:bCs/>
                <w:sz w:val="28"/>
                <w:szCs w:val="28"/>
                <w:highlight w:val="none"/>
              </w:rPr>
              <w:t>：</w:t>
            </w:r>
            <w:r>
              <w:rPr>
                <w:rFonts w:hint="eastAsia" w:ascii="仿宋_GB2312" w:hAnsi="仿宋_GB2312" w:eastAsia="仿宋_GB2312" w:cs="仿宋_GB2312"/>
                <w:sz w:val="28"/>
                <w:szCs w:val="28"/>
                <w:highlight w:val="none"/>
              </w:rPr>
              <w:t>包括警告、通报批评、罚款、没收违法所得、没收非法财物、暂扣许可证件、降低资质等级、吊销许可证件、一定时期内不得申请行政许可、限制开展生产经营活动、责令停产整治、责令停产停业、责令关闭、限制从业、禁止从业、责令限期拆除、行政拘留等信息。</w:t>
            </w:r>
          </w:p>
        </w:tc>
      </w:tr>
    </w:tbl>
    <w:p>
      <w:pPr>
        <w:pStyle w:val="4"/>
        <w:numPr>
          <w:ilvl w:val="0"/>
          <w:numId w:val="5"/>
        </w:numPr>
        <w:rPr>
          <w:highlight w:val="none"/>
        </w:rPr>
      </w:pPr>
      <w:bookmarkStart w:id="64" w:name="_Toc210058130"/>
      <w:bookmarkStart w:id="65" w:name="_Toc210058648"/>
      <w:bookmarkStart w:id="66" w:name="_Toc13710"/>
      <w:bookmarkStart w:id="67" w:name="_Toc20358"/>
      <w:r>
        <w:rPr>
          <w:rFonts w:hint="eastAsia"/>
          <w:highlight w:val="none"/>
        </w:rPr>
        <w:t>法律法规规定其他环境信息</w:t>
      </w:r>
      <w:bookmarkEnd w:id="64"/>
      <w:bookmarkEnd w:id="65"/>
      <w:bookmarkEnd w:id="66"/>
      <w:bookmarkEnd w:id="67"/>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highlight w:val="none"/>
              </w:rPr>
            </w:pPr>
            <w:r>
              <w:rPr>
                <w:rFonts w:hint="eastAsia" w:ascii="仿宋_GB2312" w:hAnsi="仿宋_GB2312" w:eastAsia="仿宋_GB2312" w:cs="仿宋_GB2312"/>
                <w:b/>
                <w:bCs/>
                <w:sz w:val="28"/>
                <w:szCs w:val="28"/>
                <w:highlight w:val="none"/>
              </w:rPr>
              <w:t>10.1</w:t>
            </w:r>
            <w:r>
              <w:rPr>
                <w:rFonts w:ascii="仿宋_GB2312" w:hAnsi="仿宋_GB2312" w:eastAsia="仿宋_GB2312" w:cs="仿宋_GB2312"/>
                <w:b/>
                <w:bCs/>
                <w:sz w:val="28"/>
                <w:szCs w:val="28"/>
                <w:highlight w:val="none"/>
              </w:rPr>
              <w:t>法律法规规定其他环境信息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highlight w:val="none"/>
              </w:rPr>
            </w:pPr>
            <w:r>
              <w:rPr>
                <w:highlight w:val="none"/>
              </w:rPr>
              <w:drawing>
                <wp:anchor distT="0" distB="0" distL="114300" distR="114300" simplePos="0" relativeHeight="251664384" behindDoc="0" locked="0" layoutInCell="1" allowOverlap="1">
                  <wp:simplePos x="0" y="0"/>
                  <wp:positionH relativeFrom="column">
                    <wp:posOffset>-64770</wp:posOffset>
                  </wp:positionH>
                  <wp:positionV relativeFrom="paragraph">
                    <wp:posOffset>92075</wp:posOffset>
                  </wp:positionV>
                  <wp:extent cx="5615940" cy="2787650"/>
                  <wp:effectExtent l="0" t="0" r="3810" b="12700"/>
                  <wp:wrapTopAndBottom/>
                  <wp:docPr id="1313893331"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3893331" name="图片 23"/>
                          <pic:cNvPicPr>
                            <a:picLocks noChangeAspect="true" noChangeArrowheads="true"/>
                          </pic:cNvPicPr>
                        </pic:nvPicPr>
                        <pic:blipFill>
                          <a:blip r:embed="rId61">
                            <a:extLst>
                              <a:ext uri="{28A0092B-C50C-407E-A947-70E740481C1C}">
                                <a14:useLocalDpi xmlns:a14="http://schemas.microsoft.com/office/drawing/2010/main" val="false"/>
                              </a:ext>
                            </a:extLst>
                          </a:blip>
                          <a:srcRect/>
                          <a:stretch>
                            <a:fillRect/>
                          </a:stretch>
                        </pic:blipFill>
                        <pic:spPr>
                          <a:xfrm>
                            <a:off x="0" y="0"/>
                            <a:ext cx="5615940" cy="27876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w:t>
            </w:r>
            <w:r>
              <w:rPr>
                <w:rFonts w:ascii="仿宋_GB2312" w:hAnsi="仿宋_GB2312" w:eastAsia="仿宋_GB2312" w:cs="仿宋_GB2312"/>
                <w:b/>
                <w:bCs/>
                <w:sz w:val="28"/>
                <w:szCs w:val="28"/>
                <w:highlight w:val="none"/>
              </w:rPr>
              <w:t>遵守生态环境法律法规情况：</w:t>
            </w:r>
            <w:r>
              <w:rPr>
                <w:rFonts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rPr>
              <w:t>5</w:t>
            </w:r>
            <w:r>
              <w:rPr>
                <w:rFonts w:ascii="仿宋_GB2312" w:hAnsi="仿宋_GB2312" w:eastAsia="仿宋_GB2312" w:cs="仿宋_GB2312"/>
                <w:sz w:val="28"/>
                <w:szCs w:val="28"/>
                <w:highlight w:val="none"/>
              </w:rPr>
              <w:t>年，本企业未收到生态环境行政处罚和生态环境司法判决。</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w:t>
            </w:r>
            <w:r>
              <w:rPr>
                <w:rFonts w:ascii="仿宋_GB2312" w:hAnsi="仿宋_GB2312" w:eastAsia="仿宋_GB2312" w:cs="仿宋_GB2312"/>
                <w:b/>
                <w:bCs/>
                <w:sz w:val="28"/>
                <w:szCs w:val="28"/>
                <w:highlight w:val="none"/>
              </w:rPr>
              <w:t>生态环境行政许可变更情况：</w:t>
            </w:r>
            <w:r>
              <w:rPr>
                <w:rFonts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rPr>
              <w:t>5</w:t>
            </w:r>
            <w:r>
              <w:rPr>
                <w:rFonts w:ascii="仿宋_GB2312" w:hAnsi="仿宋_GB2312" w:eastAsia="仿宋_GB2312" w:cs="仿宋_GB2312"/>
                <w:sz w:val="28"/>
                <w:szCs w:val="28"/>
                <w:highlight w:val="none"/>
              </w:rPr>
              <w:t>年，本企业共涉及生态环境行政许可文件4份，其中新获得1份，变更2份，撤销0份，正在申请1份。</w:t>
            </w:r>
          </w:p>
          <w:p>
            <w:pPr>
              <w:ind w:firstLine="562" w:firstLineChars="200"/>
              <w:rPr>
                <w:rFonts w:hint="eastAsia"/>
                <w:highlight w:val="none"/>
              </w:rPr>
            </w:pPr>
            <w:r>
              <w:rPr>
                <w:rFonts w:hint="eastAsia" w:ascii="仿宋_GB2312" w:hAnsi="仿宋_GB2312" w:eastAsia="仿宋_GB2312" w:cs="仿宋_GB2312"/>
                <w:b/>
                <w:bCs/>
                <w:sz w:val="28"/>
                <w:szCs w:val="28"/>
                <w:highlight w:val="none"/>
              </w:rPr>
              <w:t>（3）</w:t>
            </w:r>
            <w:r>
              <w:rPr>
                <w:rFonts w:ascii="仿宋_GB2312" w:hAnsi="仿宋_GB2312" w:eastAsia="仿宋_GB2312" w:cs="仿宋_GB2312"/>
                <w:b/>
                <w:bCs/>
                <w:sz w:val="28"/>
                <w:szCs w:val="28"/>
                <w:highlight w:val="none"/>
              </w:rPr>
              <w:t>污染物排放及碳排放情况：</w:t>
            </w:r>
            <w:r>
              <w:rPr>
                <w:rFonts w:ascii="仿宋_GB2312" w:hAnsi="仿宋_GB2312" w:eastAsia="仿宋_GB2312" w:cs="仿宋_GB2312"/>
                <w:sz w:val="28"/>
                <w:szCs w:val="28"/>
                <w:highlight w:val="none"/>
              </w:rPr>
              <w:t>参考本年度报告环境关键信息摘要填写。如“202</w:t>
            </w:r>
            <w:r>
              <w:rPr>
                <w:rFonts w:hint="eastAsia" w:ascii="仿宋_GB2312" w:hAnsi="仿宋_GB2312" w:eastAsia="仿宋_GB2312" w:cs="仿宋_GB2312"/>
                <w:sz w:val="28"/>
                <w:szCs w:val="28"/>
                <w:highlight w:val="none"/>
              </w:rPr>
              <w:t>5</w:t>
            </w:r>
            <w:r>
              <w:rPr>
                <w:rFonts w:ascii="仿宋_GB2312" w:hAnsi="仿宋_GB2312" w:eastAsia="仿宋_GB2312" w:cs="仿宋_GB2312"/>
                <w:sz w:val="28"/>
                <w:szCs w:val="28"/>
                <w:highlight w:val="none"/>
              </w:rPr>
              <w:t>年，本企业排放水污染物3种，主要为COD、氨氮、总磷，COD排放量3.52吨，氨氮排放量1.86吨，总磷排放量0.21吨；排放大气污染物7种，分别为氮氧化物0.31245吨、颗粒物58.76321吨、二氧化硫0.15892吨、VOCs0.09136吨、苯乙烯0.00087吨、甲醛0.00215吨、氯化氢0.08347吨；涉及工业固体废物2种，为废金属产生量48.62吨、委外处置量48.62吨，废塑料产生量23.57吨、委外处置量23.57吨；涉及危险废物14种，分别为废机油、废滤芯、废溶剂、废活性炭、废涂料桶、废胶黏剂桶、废蓄电池、废荧光灯管、废化学品包装、废催化剂、废乳化液、废树脂、废酸液、废碱液等，产生量298.453吨、委外处置量298.453吨；排放有毒有害物质0种，本企业总共排放二氧化碳1.2万吨。</w:t>
            </w:r>
          </w:p>
        </w:tc>
      </w:tr>
    </w:tbl>
    <w:p>
      <w:pPr>
        <w:rPr>
          <w:rFonts w:hint="eastAsia"/>
          <w:highlight w:val="none"/>
        </w:rPr>
      </w:pPr>
    </w:p>
    <w:p>
      <w:pPr>
        <w:rPr>
          <w:rFonts w:hint="eastAsia" w:ascii="仿宋_GB2312" w:hAnsi="仿宋_GB2312" w:eastAsia="仿宋_GB2312" w:cs="仿宋_GB2312"/>
          <w:sz w:val="32"/>
          <w:szCs w:val="32"/>
          <w:highlight w:val="none"/>
        </w:rPr>
      </w:pPr>
    </w:p>
    <w:p>
      <w:pPr>
        <w:rPr>
          <w:rFonts w:hint="eastAsia" w:ascii="仿宋_GB2312" w:hAnsi="仿宋_GB2312" w:eastAsia="仿宋_GB2312" w:cs="仿宋_GB2312"/>
          <w:sz w:val="32"/>
          <w:szCs w:val="32"/>
          <w:highlight w:val="none"/>
        </w:rPr>
      </w:pPr>
    </w:p>
    <w:p>
      <w:pPr>
        <w:rPr>
          <w:rFonts w:hint="eastAsia" w:ascii="仿宋_GB2312" w:hAnsi="仿宋_GB2312" w:eastAsia="仿宋_GB2312" w:cs="仿宋_GB2312"/>
          <w:sz w:val="32"/>
          <w:szCs w:val="32"/>
          <w:highlight w:val="none"/>
        </w:rPr>
      </w:pPr>
    </w:p>
    <w:p>
      <w:pPr>
        <w:rPr>
          <w:rFonts w:hint="eastAsia" w:ascii="仿宋_GB2312" w:hAnsi="仿宋_GB2312" w:eastAsia="仿宋_GB2312" w:cs="仿宋_GB2312"/>
          <w:sz w:val="32"/>
          <w:szCs w:val="32"/>
          <w:highlight w:val="none"/>
        </w:rPr>
      </w:pPr>
    </w:p>
    <w:p>
      <w:pPr>
        <w:rPr>
          <w:rFonts w:hint="eastAsia" w:ascii="仿宋_GB2312" w:hAnsi="仿宋_GB2312" w:eastAsia="仿宋_GB2312" w:cs="仿宋_GB2312"/>
          <w:sz w:val="32"/>
          <w:szCs w:val="32"/>
          <w:highlight w:val="none"/>
        </w:rPr>
      </w:pPr>
    </w:p>
    <w:p>
      <w:pPr>
        <w:pStyle w:val="3"/>
        <w:rPr>
          <w:rFonts w:hint="eastAsia" w:ascii="仿宋_GB2312" w:hAnsi="仿宋_GB2312" w:eastAsia="仿宋_GB2312" w:cs="仿宋_GB2312"/>
          <w:sz w:val="32"/>
          <w:szCs w:val="32"/>
          <w:highlight w:val="none"/>
        </w:rPr>
      </w:pPr>
    </w:p>
    <w:p>
      <w:pPr>
        <w:rPr>
          <w:rFonts w:hint="eastAsia"/>
        </w:rPr>
      </w:pPr>
    </w:p>
    <w:p>
      <w:pPr>
        <w:rPr>
          <w:rFonts w:hint="eastAsia" w:ascii="仿宋_GB2312" w:hAnsi="仿宋_GB2312" w:eastAsia="仿宋_GB2312" w:cs="仿宋_GB2312"/>
          <w:sz w:val="32"/>
          <w:szCs w:val="32"/>
          <w:highlight w:val="none"/>
        </w:rPr>
      </w:pPr>
    </w:p>
    <w:p>
      <w:pPr>
        <w:rPr>
          <w:rFonts w:hint="eastAsia" w:ascii="仿宋_GB2312" w:hAnsi="仿宋_GB2312" w:eastAsia="仿宋_GB2312" w:cs="仿宋_GB2312"/>
          <w:sz w:val="32"/>
          <w:szCs w:val="32"/>
          <w:highlight w:val="none"/>
        </w:rPr>
      </w:pPr>
    </w:p>
    <w:p>
      <w:pPr>
        <w:rPr>
          <w:rFonts w:hint="eastAsia"/>
          <w:highlight w:val="none"/>
        </w:rPr>
      </w:pPr>
    </w:p>
    <w:p>
      <w:pPr>
        <w:pStyle w:val="4"/>
        <w:numPr>
          <w:ilvl w:val="0"/>
          <w:numId w:val="5"/>
        </w:numPr>
        <w:rPr>
          <w:rFonts w:hint="eastAsia"/>
          <w:highlight w:val="none"/>
        </w:rPr>
      </w:pPr>
      <w:bookmarkStart w:id="68" w:name="_Toc210058131"/>
      <w:bookmarkStart w:id="69" w:name="_Toc22240"/>
      <w:bookmarkStart w:id="70" w:name="_Toc31160"/>
      <w:bookmarkStart w:id="71" w:name="_Toc210058649"/>
      <w:bookmarkStart w:id="72" w:name="OLE_LINK11"/>
      <w:r>
        <w:rPr>
          <w:rFonts w:hint="eastAsia"/>
          <w:highlight w:val="none"/>
        </w:rPr>
        <w:t>强制性清洁生产审核信息</w:t>
      </w:r>
      <w:bookmarkEnd w:id="68"/>
      <w:bookmarkEnd w:id="69"/>
      <w:bookmarkEnd w:id="70"/>
      <w:bookmarkEnd w:id="71"/>
    </w:p>
    <w:bookmarkEnd w:id="72"/>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11.1</w:t>
            </w:r>
            <w:r>
              <w:rPr>
                <w:rFonts w:ascii="仿宋_GB2312" w:hAnsi="仿宋_GB2312" w:eastAsia="仿宋_GB2312" w:cs="仿宋_GB2312"/>
                <w:b/>
                <w:bCs/>
                <w:sz w:val="28"/>
                <w:szCs w:val="28"/>
                <w:highlight w:val="none"/>
              </w:rPr>
              <w:t>强制性清洁生产审核信息</w:t>
            </w:r>
            <w:r>
              <w:rPr>
                <w:rFonts w:hint="eastAsia" w:ascii="仿宋_GB2312" w:hAnsi="仿宋_GB2312" w:eastAsia="仿宋_GB2312" w:cs="仿宋_GB2312"/>
                <w:b/>
                <w:bCs/>
                <w:sz w:val="28"/>
                <w:szCs w:val="28"/>
                <w:highlight w:val="none"/>
              </w:rPr>
              <w:t>：</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实施强制性清洁生产审核的参照强制性清洁生产审核绩效表的相关信息进行填报。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highlight w:val="none"/>
              </w:rPr>
            </w:pPr>
            <w:r>
              <w:rPr>
                <w:highlight w:val="none"/>
              </w:rPr>
              <w:drawing>
                <wp:inline distT="0" distB="0" distL="114300" distR="114300">
                  <wp:extent cx="5040630" cy="2693670"/>
                  <wp:effectExtent l="0" t="0" r="7620" b="11430"/>
                  <wp:docPr id="584986367" name="图片 24" descr="图形用户界面, 文本, 应用程序, 电子邮件&#10;&#10;AI 生成的内容可能不正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4986367" name="图片 24" descr="图形用户界面, 文本, 应用程序, 电子邮件&#10;&#10;AI 生成的内容可能不正确。"/>
                          <pic:cNvPicPr>
                            <a:picLocks noChangeAspect="true" noChangeArrowheads="true"/>
                          </pic:cNvPicPr>
                        </pic:nvPicPr>
                        <pic:blipFill>
                          <a:blip r:embed="rId62" cstate="print">
                            <a:extLst>
                              <a:ext uri="{28A0092B-C50C-407E-A947-70E740481C1C}">
                                <a14:useLocalDpi xmlns:a14="http://schemas.microsoft.com/office/drawing/2010/main" val="false"/>
                              </a:ext>
                            </a:extLst>
                          </a:blip>
                          <a:srcRect/>
                          <a:stretch>
                            <a:fillRect/>
                          </a:stretch>
                        </pic:blipFill>
                        <pic:spPr>
                          <a:xfrm>
                            <a:off x="0" y="0"/>
                            <a:ext cx="5040630" cy="26936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highlight w:val="none"/>
              </w:rPr>
            </w:pPr>
            <w:r>
              <w:rPr>
                <w:highlight w:val="none"/>
              </w:rPr>
              <w:drawing>
                <wp:inline distT="0" distB="0" distL="114300" distR="114300">
                  <wp:extent cx="4983480" cy="3105150"/>
                  <wp:effectExtent l="0" t="0" r="7620" b="0"/>
                  <wp:docPr id="700961994"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0961994" name="图片 27"/>
                          <pic:cNvPicPr>
                            <a:picLocks noChangeAspect="true" noChangeArrowheads="true"/>
                          </pic:cNvPicPr>
                        </pic:nvPicPr>
                        <pic:blipFill>
                          <a:blip r:embed="rId63" cstate="print">
                            <a:extLst>
                              <a:ext uri="{28A0092B-C50C-407E-A947-70E740481C1C}">
                                <a14:useLocalDpi xmlns:a14="http://schemas.microsoft.com/office/drawing/2010/main" val="false"/>
                              </a:ext>
                            </a:extLst>
                          </a:blip>
                          <a:srcRect b="9861"/>
                          <a:stretch>
                            <a:fillRect/>
                          </a:stretch>
                        </pic:blipFill>
                        <pic:spPr>
                          <a:xfrm>
                            <a:off x="0" y="0"/>
                            <a:ext cx="4983480" cy="31051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（1）概述：</w:t>
            </w:r>
            <w:r>
              <w:rPr>
                <w:rFonts w:hint="eastAsia" w:ascii="仿宋_GB2312" w:hAnsi="仿宋_GB2312" w:eastAsia="仿宋_GB2312" w:cs="仿宋_GB2312"/>
                <w:sz w:val="28"/>
                <w:szCs w:val="28"/>
                <w:highlight w:val="none"/>
              </w:rPr>
              <w:t>本公司因</w:t>
            </w:r>
            <w:bookmarkStart w:id="73" w:name="OLE_LINK9"/>
            <w:r>
              <w:rPr>
                <w:rFonts w:ascii="仿宋_GB2312" w:hAnsi="仿宋_GB2312" w:eastAsia="仿宋_GB2312" w:cs="仿宋_GB2312"/>
                <w:sz w:val="28"/>
                <w:szCs w:val="28"/>
                <w:highlight w:val="none"/>
              </w:rPr>
              <w:t>2024年验收不通过</w:t>
            </w:r>
            <w:bookmarkEnd w:id="73"/>
            <w:r>
              <w:rPr>
                <w:rFonts w:hint="eastAsia" w:ascii="仿宋_GB2312" w:hAnsi="仿宋_GB2312" w:eastAsia="仿宋_GB2312" w:cs="仿宋_GB2312"/>
                <w:sz w:val="28"/>
                <w:szCs w:val="28"/>
                <w:highlight w:val="none"/>
              </w:rPr>
              <w:t>被深圳市生态环境局列入2025</w:t>
            </w:r>
            <w:r>
              <w:rPr>
                <w:rFonts w:ascii="仿宋_GB2312" w:hAnsi="仿宋_GB2312" w:eastAsia="仿宋_GB2312" w:cs="仿宋_GB2312"/>
                <w:sz w:val="28"/>
                <w:szCs w:val="28"/>
                <w:highlight w:val="none"/>
              </w:rPr>
              <w:t>年第一批应依法实施清洁生产审核的重点企业名单</w:t>
            </w:r>
            <w:r>
              <w:rPr>
                <w:rFonts w:hint="eastAsia" w:ascii="仿宋_GB2312" w:hAnsi="仿宋_GB2312" w:eastAsia="仿宋_GB2312" w:cs="仿宋_GB2312"/>
                <w:sz w:val="28"/>
                <w:szCs w:val="28"/>
                <w:highlight w:val="none"/>
              </w:rPr>
              <w:t>，并于2025年9月通过了</w:t>
            </w:r>
            <w:r>
              <w:rPr>
                <w:rFonts w:ascii="仿宋_GB2312" w:hAnsi="仿宋_GB2312" w:eastAsia="仿宋_GB2312" w:cs="仿宋_GB2312"/>
                <w:sz w:val="28"/>
                <w:szCs w:val="28"/>
                <w:highlight w:val="none"/>
              </w:rPr>
              <w:t>清洁生产审核。</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（2）被列入强制性清洁生产审核的依据：</w:t>
            </w:r>
            <w:r>
              <w:rPr>
                <w:rFonts w:hint="eastAsia" w:ascii="仿宋_GB2312" w:hAnsi="仿宋_GB2312" w:eastAsia="仿宋_GB2312" w:cs="仿宋_GB2312"/>
                <w:sz w:val="28"/>
                <w:szCs w:val="28"/>
                <w:highlight w:val="none"/>
              </w:rPr>
              <w:t>根据深圳市生态环境局关于公布2025年强制性实施清洁生产审核企业名单（第一批）的通知，本公司因“</w:t>
            </w:r>
            <w:r>
              <w:rPr>
                <w:rFonts w:ascii="仿宋_GB2312" w:hAnsi="仿宋_GB2312" w:eastAsia="仿宋_GB2312" w:cs="仿宋_GB2312"/>
                <w:sz w:val="28"/>
                <w:szCs w:val="28"/>
                <w:highlight w:val="none"/>
              </w:rPr>
              <w:t>2024年验收不通过</w:t>
            </w:r>
            <w:r>
              <w:rPr>
                <w:rFonts w:hint="eastAsia" w:ascii="仿宋_GB2312" w:hAnsi="仿宋_GB2312" w:eastAsia="仿宋_GB2312" w:cs="仿宋_GB2312"/>
                <w:sz w:val="28"/>
                <w:szCs w:val="28"/>
                <w:highlight w:val="none"/>
              </w:rPr>
              <w:t>”2025年第一批强制性实施清洁生产审核企业。</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（3）实施情况：</w:t>
            </w:r>
            <w:r>
              <w:rPr>
                <w:rFonts w:hint="eastAsia" w:ascii="仿宋_GB2312" w:hAnsi="仿宋_GB2312" w:eastAsia="仿宋_GB2312" w:cs="仿宋_GB2312"/>
                <w:sz w:val="28"/>
                <w:szCs w:val="28"/>
                <w:highlight w:val="none"/>
              </w:rPr>
              <w:t>一、方案</w:t>
            </w:r>
            <w:r>
              <w:rPr>
                <w:rFonts w:ascii="仿宋_GB2312" w:hAnsi="仿宋_GB2312" w:eastAsia="仿宋_GB2312" w:cs="仿宋_GB2312"/>
                <w:sz w:val="28"/>
                <w:szCs w:val="28"/>
                <w:highlight w:val="none"/>
              </w:rPr>
              <w:t>1电子含重金属废水治理升级改造投资32万元，新增重金属捕捉反应池、斜管沉淀池及1套镀镍废水回用系统，针对线路板电镀工序产生的含镍、铜废水进行专项处理，减少工业废水排放量14289.57吨/年（其中含重金属废水排放量降低92%），有效降低水体重金属污染风险，环境效益显著；同时每年节省水费26.88万元，减少危险废物（含重金属污泥）产生量1.85吨/年，节</w:t>
            </w:r>
            <w:r>
              <w:rPr>
                <w:rFonts w:hint="eastAsia" w:ascii="仿宋_GB2312" w:hAnsi="仿宋_GB2312" w:eastAsia="仿宋_GB2312" w:cs="仿宋_GB2312"/>
                <w:sz w:val="28"/>
                <w:szCs w:val="28"/>
                <w:highlight w:val="none"/>
              </w:rPr>
              <w:t>省危废处置费用</w:t>
            </w:r>
            <w:r>
              <w:rPr>
                <w:rFonts w:ascii="仿宋_GB2312" w:hAnsi="仿宋_GB2312" w:eastAsia="仿宋_GB2312" w:cs="仿宋_GB2312"/>
                <w:sz w:val="28"/>
                <w:szCs w:val="28"/>
                <w:highlight w:val="none"/>
              </w:rPr>
              <w:t>22.2万元。二、方案2电子焊接及有机废气综合治理升级改造投资188万元，新增4套焊烟净化一体机（针对SMT贴片焊接工序）及2套沸石转轮吸附+蓄热式焚烧（RTO）装置（针对清洗剂挥发有机废气），每年减少颗粒物排放量0.632吨、非甲烷总烃排放量3.895吨、废气排放浓度满足排放限值要求，环境效益突出。</w:t>
            </w:r>
          </w:p>
          <w:p>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（4）验收结果：</w:t>
            </w:r>
            <w:r>
              <w:rPr>
                <w:rFonts w:hint="eastAsia" w:ascii="仿宋_GB2312" w:hAnsi="仿宋_GB2312" w:eastAsia="仿宋_GB2312" w:cs="仿宋_GB2312"/>
                <w:sz w:val="28"/>
                <w:szCs w:val="28"/>
                <w:highlight w:val="none"/>
              </w:rPr>
              <w:t>可填写专家验收意见。</w:t>
            </w:r>
          </w:p>
        </w:tc>
      </w:tr>
    </w:tbl>
    <w:p>
      <w:pPr>
        <w:pStyle w:val="4"/>
        <w:numPr>
          <w:ilvl w:val="0"/>
          <w:numId w:val="5"/>
        </w:numPr>
        <w:rPr>
          <w:rFonts w:hint="eastAsia"/>
          <w:highlight w:val="none"/>
        </w:rPr>
      </w:pPr>
      <w:bookmarkStart w:id="74" w:name="_Toc210058650"/>
      <w:bookmarkStart w:id="75" w:name="_Toc21880"/>
      <w:bookmarkStart w:id="76" w:name="_Toc23922"/>
      <w:bookmarkStart w:id="77" w:name="_Toc210058132"/>
      <w:r>
        <w:rPr>
          <w:rFonts w:hint="eastAsia"/>
          <w:highlight w:val="none"/>
        </w:rPr>
        <w:t>相关投融资的生态环保信息</w:t>
      </w:r>
      <w:bookmarkEnd w:id="74"/>
      <w:bookmarkEnd w:id="75"/>
      <w:bookmarkEnd w:id="76"/>
      <w:bookmarkEnd w:id="77"/>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12.1相关投融资的生态环保信息</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上市公司、发债企业依据相关情况填写此项内容。</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上市公司、发债企业如发生各种形式的融资行为，则需要说明融资的情况和投资情况。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highlight w:val="none"/>
              </w:rPr>
            </w:pPr>
            <w:r>
              <w:rPr>
                <w:highlight w:val="none"/>
              </w:rPr>
              <w:drawing>
                <wp:anchor distT="0" distB="0" distL="114300" distR="114300" simplePos="0" relativeHeight="251660288" behindDoc="0" locked="0" layoutInCell="1" allowOverlap="1">
                  <wp:simplePos x="0" y="0"/>
                  <wp:positionH relativeFrom="column">
                    <wp:posOffset>-64770</wp:posOffset>
                  </wp:positionH>
                  <wp:positionV relativeFrom="paragraph">
                    <wp:posOffset>34925</wp:posOffset>
                  </wp:positionV>
                  <wp:extent cx="5615940" cy="2312670"/>
                  <wp:effectExtent l="0" t="0" r="3810" b="11430"/>
                  <wp:wrapTopAndBottom/>
                  <wp:docPr id="2015643570"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15643570" name="图片 28"/>
                          <pic:cNvPicPr>
                            <a:picLocks noChangeAspect="true" noChangeArrowheads="true"/>
                          </pic:cNvPicPr>
                        </pic:nvPicPr>
                        <pic:blipFill>
                          <a:blip r:embed="rId64">
                            <a:extLst>
                              <a:ext uri="{28A0092B-C50C-407E-A947-70E740481C1C}">
                                <a14:useLocalDpi xmlns:a14="http://schemas.microsoft.com/office/drawing/2010/main" val="false"/>
                              </a:ext>
                            </a:extLst>
                          </a:blip>
                          <a:srcRect/>
                          <a:stretch>
                            <a:fillRect/>
                          </a:stretch>
                        </pic:blipFill>
                        <pic:spPr>
                          <a:xfrm>
                            <a:off x="0" y="0"/>
                            <a:ext cx="5615940" cy="2312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【填报示例】</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若</w:t>
            </w:r>
            <w:r>
              <w:rPr>
                <w:rFonts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rPr>
              <w:t>5</w:t>
            </w:r>
            <w:r>
              <w:rPr>
                <w:rFonts w:ascii="仿宋_GB2312" w:hAnsi="仿宋_GB2312" w:eastAsia="仿宋_GB2312" w:cs="仿宋_GB2312"/>
                <w:sz w:val="28"/>
                <w:szCs w:val="28"/>
                <w:highlight w:val="none"/>
              </w:rPr>
              <w:t>年未进行融资，则填写“202</w:t>
            </w:r>
            <w:r>
              <w:rPr>
                <w:rFonts w:hint="eastAsia" w:ascii="仿宋_GB2312" w:hAnsi="仿宋_GB2312" w:eastAsia="仿宋_GB2312" w:cs="仿宋_GB2312"/>
                <w:sz w:val="28"/>
                <w:szCs w:val="28"/>
                <w:highlight w:val="none"/>
              </w:rPr>
              <w:t>5</w:t>
            </w:r>
            <w:r>
              <w:rPr>
                <w:rFonts w:ascii="仿宋_GB2312" w:hAnsi="仿宋_GB2312" w:eastAsia="仿宋_GB2312" w:cs="仿宋_GB2312"/>
                <w:sz w:val="28"/>
                <w:szCs w:val="28"/>
                <w:highlight w:val="none"/>
              </w:rPr>
              <w:t>年，本企业未发行任何有价证券融资”；</w:t>
            </w:r>
            <w:r>
              <w:rPr>
                <w:rFonts w:hint="eastAsia" w:ascii="仿宋_GB2312" w:hAnsi="仿宋_GB2312" w:eastAsia="仿宋_GB2312" w:cs="仿宋_GB2312"/>
                <w:sz w:val="28"/>
                <w:szCs w:val="28"/>
                <w:highlight w:val="none"/>
              </w:rPr>
              <w:t>若</w:t>
            </w:r>
            <w:r>
              <w:rPr>
                <w:rFonts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rPr>
              <w:t>5</w:t>
            </w:r>
            <w:r>
              <w:rPr>
                <w:rFonts w:ascii="仿宋_GB2312" w:hAnsi="仿宋_GB2312" w:eastAsia="仿宋_GB2312" w:cs="仿宋_GB2312"/>
                <w:sz w:val="28"/>
                <w:szCs w:val="28"/>
                <w:highlight w:val="none"/>
              </w:rPr>
              <w:t>年度进行融资，企业应当披露融资形式、金额、投向等信息，以及融资</w:t>
            </w:r>
            <w:r>
              <w:rPr>
                <w:rFonts w:hint="eastAsia" w:ascii="仿宋_GB2312" w:hAnsi="仿宋_GB2312" w:eastAsia="仿宋_GB2312" w:cs="仿宋_GB2312"/>
                <w:sz w:val="28"/>
                <w:szCs w:val="28"/>
                <w:highlight w:val="none"/>
              </w:rPr>
              <w:t>所投项目的应对气候变化、生态环境保护等相关信息。</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注：上市公司：包含上市公司及合并报表范围内的各级子公司；发债企业：发债企业指发行企业债券、公司债券、非金融企业债务融资工具的企业。</w:t>
            </w:r>
          </w:p>
        </w:tc>
      </w:tr>
    </w:tbl>
    <w:p>
      <w:pPr>
        <w:pStyle w:val="4"/>
        <w:numPr>
          <w:ilvl w:val="0"/>
          <w:numId w:val="5"/>
        </w:numPr>
        <w:rPr>
          <w:rFonts w:hint="eastAsia"/>
          <w:highlight w:val="none"/>
        </w:rPr>
      </w:pPr>
      <w:bookmarkStart w:id="78" w:name="_Toc210058133"/>
      <w:bookmarkStart w:id="79" w:name="_Toc210058651"/>
      <w:bookmarkStart w:id="80" w:name="_Toc26798"/>
      <w:bookmarkStart w:id="81" w:name="_Toc4238"/>
      <w:bookmarkStart w:id="82" w:name="OLE_LINK12"/>
      <w:r>
        <w:rPr>
          <w:rFonts w:hint="eastAsia"/>
          <w:highlight w:val="none"/>
        </w:rPr>
        <w:t>报告发布</w:t>
      </w:r>
      <w:bookmarkEnd w:id="78"/>
      <w:bookmarkEnd w:id="79"/>
      <w:bookmarkEnd w:id="80"/>
      <w:bookmarkEnd w:id="81"/>
    </w:p>
    <w:bookmarkEnd w:id="82"/>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13.1报告发布</w:t>
            </w:r>
          </w:p>
          <w:p>
            <w:pPr>
              <w:ind w:firstLine="560" w:firstLineChars="200"/>
              <w:rPr>
                <w:rFonts w:hint="eastAsia"/>
                <w:highlight w:val="none"/>
              </w:rPr>
            </w:pPr>
            <w:r>
              <w:rPr>
                <w:rFonts w:ascii="仿宋_GB2312" w:hAnsi="仿宋_GB2312" w:eastAsia="仿宋_GB2312" w:cs="仿宋_GB2312"/>
                <w:sz w:val="28"/>
                <w:szCs w:val="28"/>
                <w:highlight w:val="none"/>
              </w:rPr>
              <w:t>所有内容填写完毕后，</w:t>
            </w:r>
            <w:r>
              <w:rPr>
                <w:rFonts w:ascii="仿宋_GB2312" w:hAnsi="仿宋_GB2312" w:eastAsia="仿宋_GB2312" w:cs="仿宋_GB2312"/>
                <w:b/>
                <w:bCs/>
                <w:color w:val="EE0000"/>
                <w:sz w:val="28"/>
                <w:szCs w:val="28"/>
                <w:highlight w:val="none"/>
              </w:rPr>
              <w:t>请点击页面底部的“保存”按钮（保存后填写内容将自动留存，防止数据丢失）；</w:t>
            </w:r>
            <w:r>
              <w:rPr>
                <w:rFonts w:ascii="仿宋_GB2312" w:hAnsi="仿宋_GB2312" w:eastAsia="仿宋_GB2312" w:cs="仿宋_GB2312"/>
                <w:sz w:val="28"/>
                <w:szCs w:val="28"/>
                <w:highlight w:val="none"/>
              </w:rPr>
              <w:t>保存完成后系统将自动返回“新增报告”页面，在此页面可根据需求进行三项操作：点击“预览”可查看报告最终呈现效果，点击“编辑”可修改已填写内容，点击“删除”可清除当前报告（删除后不可恢复，请谨慎操作）。确认报告内容无误后，点击页面显著位置的“发布”按钮；点击“发布”后将弹出提示弹窗，需在弹窗内勾选“我已阅读并理解上述警告信息”选项，</w:t>
            </w:r>
            <w:r>
              <w:rPr>
                <w:rFonts w:ascii="仿宋_GB2312" w:hAnsi="仿宋_GB2312" w:eastAsia="仿宋_GB2312" w:cs="仿宋_GB2312"/>
                <w:b/>
                <w:bCs/>
                <w:color w:val="EE0000"/>
                <w:sz w:val="28"/>
                <w:szCs w:val="28"/>
                <w:highlight w:val="none"/>
              </w:rPr>
              <w:t>再点击弹窗底部的“确认提交”按钮，即可完成报告发布流程。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highlight w:val="none"/>
              </w:rPr>
            </w:pPr>
            <w:r>
              <w:rPr>
                <w:highlight w:val="none"/>
              </w:rPr>
              <w:drawing>
                <wp:anchor distT="0" distB="0" distL="114300" distR="114300" simplePos="0" relativeHeight="251662336" behindDoc="0" locked="0" layoutInCell="1" allowOverlap="1">
                  <wp:simplePos x="0" y="0"/>
                  <wp:positionH relativeFrom="column">
                    <wp:posOffset>-62230</wp:posOffset>
                  </wp:positionH>
                  <wp:positionV relativeFrom="paragraph">
                    <wp:posOffset>59690</wp:posOffset>
                  </wp:positionV>
                  <wp:extent cx="5592445" cy="3041015"/>
                  <wp:effectExtent l="0" t="0" r="8255" b="6985"/>
                  <wp:wrapTopAndBottom/>
                  <wp:docPr id="124411975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4119756" name="图片 1"/>
                          <pic:cNvPicPr>
                            <a:picLocks noChangeAspect="true"/>
                          </pic:cNvPicPr>
                        </pic:nvPicPr>
                        <pic:blipFill>
                          <a:blip r:embed="rId65">
                            <a:extLst>
                              <a:ext uri="{28A0092B-C50C-407E-A947-70E740481C1C}">
                                <a14:useLocalDpi xmlns:a14="http://schemas.microsoft.com/office/drawing/2010/main" val="false"/>
                              </a:ext>
                            </a:extLst>
                          </a:blip>
                          <a:stretch>
                            <a:fillRect/>
                          </a:stretch>
                        </pic:blipFill>
                        <pic:spPr>
                          <a:xfrm>
                            <a:off x="0" y="0"/>
                            <a:ext cx="5592445" cy="3041015"/>
                          </a:xfrm>
                          <a:prstGeom prst="rect">
                            <a:avLst/>
                          </a:prstGeom>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tcBorders>
              <w:tl2br w:val="nil"/>
              <w:tr2bl w:val="nil"/>
            </w:tcBorders>
          </w:tcPr>
          <w:p>
            <w:pPr>
              <w:rPr>
                <w:rFonts w:hint="eastAsia"/>
                <w:highlight w:val="none"/>
              </w:rPr>
            </w:pPr>
            <w:r>
              <w:rPr>
                <w:highlight w:val="none"/>
              </w:rPr>
              <w:drawing>
                <wp:anchor distT="0" distB="0" distL="114300" distR="114300" simplePos="0" relativeHeight="251661312" behindDoc="0" locked="0" layoutInCell="1" allowOverlap="1">
                  <wp:simplePos x="0" y="0"/>
                  <wp:positionH relativeFrom="column">
                    <wp:posOffset>-64770</wp:posOffset>
                  </wp:positionH>
                  <wp:positionV relativeFrom="paragraph">
                    <wp:posOffset>38735</wp:posOffset>
                  </wp:positionV>
                  <wp:extent cx="5620385" cy="3094990"/>
                  <wp:effectExtent l="0" t="0" r="18415" b="10160"/>
                  <wp:wrapTopAndBottom/>
                  <wp:docPr id="206796578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67965787" name="图片 1"/>
                          <pic:cNvPicPr>
                            <a:picLocks noChangeAspect="true"/>
                          </pic:cNvPicPr>
                        </pic:nvPicPr>
                        <pic:blipFill>
                          <a:blip r:embed="rId66">
                            <a:extLst>
                              <a:ext uri="{28A0092B-C50C-407E-A947-70E740481C1C}">
                                <a14:useLocalDpi xmlns:a14="http://schemas.microsoft.com/office/drawing/2010/main" val="false"/>
                              </a:ext>
                            </a:extLst>
                          </a:blip>
                          <a:stretch>
                            <a:fillRect/>
                          </a:stretch>
                        </pic:blipFill>
                        <pic:spPr>
                          <a:xfrm>
                            <a:off x="0" y="0"/>
                            <a:ext cx="5620385" cy="3094990"/>
                          </a:xfrm>
                          <a:prstGeom prst="rect">
                            <a:avLst/>
                          </a:prstGeom>
                          <a:ln>
                            <a:noFill/>
                          </a:ln>
                        </pic:spPr>
                      </pic:pic>
                    </a:graphicData>
                  </a:graphic>
                </wp:anchor>
              </w:drawing>
            </w:r>
          </w:p>
        </w:tc>
      </w:tr>
    </w:tbl>
    <w:p>
      <w:pPr>
        <w:widowControl/>
        <w:jc w:val="left"/>
        <w:rPr>
          <w:rFonts w:hint="eastAsia" w:ascii="仿宋_GB2312" w:hAnsi="仿宋_GB2312" w:eastAsia="仿宋_GB2312" w:cs="仿宋_GB2312"/>
          <w:kern w:val="0"/>
          <w:sz w:val="32"/>
          <w:szCs w:val="32"/>
          <w:highlight w:val="none"/>
          <w:lang w:val="en-US" w:eastAsia="zh-CN" w:bidi="ar-SA"/>
        </w:rPr>
      </w:pPr>
    </w:p>
    <w:sectPr>
      <w:headerReference r:id="rId3" w:type="default"/>
      <w:footerReference r:id="rId4" w:type="default"/>
      <w:footerReference r:id="rId5" w:type="even"/>
      <w:pgSz w:w="11906" w:h="16838"/>
      <w:pgMar w:top="1678" w:right="1474" w:bottom="1985" w:left="1588"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modern"/>
    <w:pitch w:val="default"/>
    <w:sig w:usb0="00000000" w:usb1="00000000" w:usb2="00000016" w:usb3="00000000" w:csb0="00040001" w:csb1="00000000"/>
  </w:font>
  <w:font w:name="仿宋_GB2312">
    <w:altName w:val="方正仿宋_GBK"/>
    <w:panose1 w:val="00000000000000000000"/>
    <w:charset w:val="86"/>
    <w:family w:val="auto"/>
    <w:pitch w:val="default"/>
    <w:sig w:usb0="00000000" w:usb1="00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等线 Light">
    <w:altName w:val="华文仿宋"/>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黑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等线">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5301668"/>
    </w:sdtPr>
    <w:sdtEndPr>
      <w:rPr>
        <w:rFonts w:ascii="宋体" w:hAnsi="宋体" w:eastAsia="宋体"/>
        <w:sz w:val="28"/>
        <w:szCs w:val="28"/>
      </w:rPr>
    </w:sdtEndPr>
    <w:sdtContent>
      <w:p>
        <w:pPr>
          <w:pStyle w:val="7"/>
          <w:ind w:right="180"/>
          <w:jc w:val="right"/>
          <w:rPr>
            <w:rFonts w:hint="eastAsia"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pPr>
      <w:pStyle w:val="7"/>
      <w:tabs>
        <w:tab w:val="left" w:pos="6826"/>
        <w:tab w:val="clear" w:pos="4153"/>
        <w:tab w:val="clear" w:pos="8306"/>
      </w:tabs>
      <w:ind w:firstLine="360" w:firstLineChars="200"/>
      <w:rPr>
        <w:rFonts w:hint="eastAsia"/>
      </w:rPr>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5115303"/>
    </w:sdtPr>
    <w:sdtEndPr>
      <w:rPr>
        <w:rFonts w:ascii="宋体" w:hAnsi="宋体" w:eastAsia="宋体"/>
        <w:sz w:val="28"/>
        <w:szCs w:val="28"/>
      </w:rPr>
    </w:sdtEndPr>
    <w:sdtContent>
      <w:p>
        <w:pPr>
          <w:pStyle w:val="7"/>
          <w:ind w:firstLine="180" w:firstLineChars="100"/>
          <w:rPr>
            <w:rFonts w:hint="eastAsia"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pPr>
      <w:pStyle w:val="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rPr>
    </w:pPr>
  </w:p>
  <w:p>
    <w:pPr>
      <w:pStyle w:val="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85126D"/>
    <w:multiLevelType w:val="singleLevel"/>
    <w:tmpl w:val="B785126D"/>
    <w:lvl w:ilvl="0" w:tentative="0">
      <w:start w:val="1"/>
      <w:numFmt w:val="decimal"/>
      <w:lvlText w:val="%1."/>
      <w:lvlJc w:val="left"/>
      <w:pPr>
        <w:ind w:left="425" w:hanging="425"/>
      </w:pPr>
      <w:rPr>
        <w:rFonts w:hint="default"/>
      </w:rPr>
    </w:lvl>
  </w:abstractNum>
  <w:abstractNum w:abstractNumId="1">
    <w:nsid w:val="D14CEAE5"/>
    <w:multiLevelType w:val="singleLevel"/>
    <w:tmpl w:val="D14CEAE5"/>
    <w:lvl w:ilvl="0" w:tentative="0">
      <w:start w:val="1"/>
      <w:numFmt w:val="decimal"/>
      <w:lvlText w:val="%1."/>
      <w:lvlJc w:val="left"/>
      <w:pPr>
        <w:ind w:left="425" w:hanging="425"/>
      </w:pPr>
      <w:rPr>
        <w:rFonts w:hint="default"/>
      </w:rPr>
    </w:lvl>
  </w:abstractNum>
  <w:abstractNum w:abstractNumId="2">
    <w:nsid w:val="D3D6B279"/>
    <w:multiLevelType w:val="singleLevel"/>
    <w:tmpl w:val="D3D6B279"/>
    <w:lvl w:ilvl="0" w:tentative="0">
      <w:start w:val="6"/>
      <w:numFmt w:val="decimal"/>
      <w:suff w:val="nothing"/>
      <w:lvlText w:val="（%1）"/>
      <w:lvlJc w:val="left"/>
      <w:rPr>
        <w:rFonts w:hint="default"/>
        <w:b/>
        <w:bCs/>
      </w:rPr>
    </w:lvl>
  </w:abstractNum>
  <w:abstractNum w:abstractNumId="3">
    <w:nsid w:val="110EE7EC"/>
    <w:multiLevelType w:val="singleLevel"/>
    <w:tmpl w:val="110EE7EC"/>
    <w:lvl w:ilvl="0" w:tentative="0">
      <w:start w:val="3"/>
      <w:numFmt w:val="chineseCounting"/>
      <w:suff w:val="nothing"/>
      <w:lvlText w:val="%1、"/>
      <w:lvlJc w:val="left"/>
      <w:rPr>
        <w:rFonts w:hint="eastAsia"/>
      </w:rPr>
    </w:lvl>
  </w:abstractNum>
  <w:abstractNum w:abstractNumId="4">
    <w:nsid w:val="2F0EE338"/>
    <w:multiLevelType w:val="singleLevel"/>
    <w:tmpl w:val="2F0EE338"/>
    <w:lvl w:ilvl="0" w:tentative="0">
      <w:start w:val="1"/>
      <w:numFmt w:val="decimal"/>
      <w:lvlText w:val="%1."/>
      <w:lvlJc w:val="left"/>
      <w:pPr>
        <w:ind w:left="425" w:hanging="425"/>
      </w:pPr>
      <w:rPr>
        <w:rFonts w:hint="default"/>
      </w:rPr>
    </w:lvl>
  </w:abstractNum>
  <w:abstractNum w:abstractNumId="5">
    <w:nsid w:val="58CA84BB"/>
    <w:multiLevelType w:val="singleLevel"/>
    <w:tmpl w:val="58CA84BB"/>
    <w:lvl w:ilvl="0" w:tentative="0">
      <w:start w:val="1"/>
      <w:numFmt w:val="decimal"/>
      <w:lvlText w:val="%1."/>
      <w:lvlJc w:val="left"/>
      <w:pPr>
        <w:ind w:left="425" w:hanging="425"/>
      </w:pPr>
      <w:rPr>
        <w:rFonts w:hint="default"/>
      </w:r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true"/>
  <w:bordersDoNotSurroundFooter w:val="true"/>
  <w:documentProtection w:enforcement="0"/>
  <w:defaultTabStop w:val="420"/>
  <w:evenAndOddHeaders w:val="true"/>
  <w:drawingGridHorizontalSpacing w:val="105"/>
  <w:drawingGridVerticalSpacing w:val="156"/>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RmYjgxMTc3ZTExOTk2ZjI4ZGZiNjE1ZGZkMjk2NGEifQ=="/>
  </w:docVars>
  <w:rsids>
    <w:rsidRoot w:val="00086E4F"/>
    <w:rsid w:val="000164E0"/>
    <w:rsid w:val="00024128"/>
    <w:rsid w:val="00053C27"/>
    <w:rsid w:val="00086E4F"/>
    <w:rsid w:val="00086F2E"/>
    <w:rsid w:val="000A475E"/>
    <w:rsid w:val="000C23F2"/>
    <w:rsid w:val="000C7C3E"/>
    <w:rsid w:val="001046A8"/>
    <w:rsid w:val="0013684F"/>
    <w:rsid w:val="00153329"/>
    <w:rsid w:val="00161131"/>
    <w:rsid w:val="001638FD"/>
    <w:rsid w:val="00164DE8"/>
    <w:rsid w:val="001742D9"/>
    <w:rsid w:val="001A56AB"/>
    <w:rsid w:val="001B1F7D"/>
    <w:rsid w:val="001F0FDB"/>
    <w:rsid w:val="001F6F68"/>
    <w:rsid w:val="002041A6"/>
    <w:rsid w:val="00212408"/>
    <w:rsid w:val="002457D4"/>
    <w:rsid w:val="0025084C"/>
    <w:rsid w:val="00252972"/>
    <w:rsid w:val="00284404"/>
    <w:rsid w:val="00293E52"/>
    <w:rsid w:val="00296C8B"/>
    <w:rsid w:val="002A30E3"/>
    <w:rsid w:val="002B6D06"/>
    <w:rsid w:val="002C4084"/>
    <w:rsid w:val="002F05FE"/>
    <w:rsid w:val="00304DF3"/>
    <w:rsid w:val="00307746"/>
    <w:rsid w:val="0032620A"/>
    <w:rsid w:val="003440C6"/>
    <w:rsid w:val="00347262"/>
    <w:rsid w:val="003562E4"/>
    <w:rsid w:val="0036413D"/>
    <w:rsid w:val="00392CAD"/>
    <w:rsid w:val="00393027"/>
    <w:rsid w:val="003E1760"/>
    <w:rsid w:val="004038D7"/>
    <w:rsid w:val="00404E9B"/>
    <w:rsid w:val="00422736"/>
    <w:rsid w:val="00431782"/>
    <w:rsid w:val="00431F2A"/>
    <w:rsid w:val="00444D59"/>
    <w:rsid w:val="0044552A"/>
    <w:rsid w:val="00447B0A"/>
    <w:rsid w:val="00451DDC"/>
    <w:rsid w:val="00457926"/>
    <w:rsid w:val="00463038"/>
    <w:rsid w:val="00472738"/>
    <w:rsid w:val="0047724E"/>
    <w:rsid w:val="004847A0"/>
    <w:rsid w:val="004B6A53"/>
    <w:rsid w:val="004C56EB"/>
    <w:rsid w:val="004C5A1D"/>
    <w:rsid w:val="004E0010"/>
    <w:rsid w:val="004E10F3"/>
    <w:rsid w:val="004E4DAF"/>
    <w:rsid w:val="00510EDD"/>
    <w:rsid w:val="005133FA"/>
    <w:rsid w:val="005279DF"/>
    <w:rsid w:val="00534CED"/>
    <w:rsid w:val="00574CAD"/>
    <w:rsid w:val="005922F9"/>
    <w:rsid w:val="005969F8"/>
    <w:rsid w:val="005F1E27"/>
    <w:rsid w:val="00603D45"/>
    <w:rsid w:val="006065C7"/>
    <w:rsid w:val="00654DFD"/>
    <w:rsid w:val="00677FF1"/>
    <w:rsid w:val="00680BFA"/>
    <w:rsid w:val="0069298B"/>
    <w:rsid w:val="006A11D9"/>
    <w:rsid w:val="006A1514"/>
    <w:rsid w:val="006E3D45"/>
    <w:rsid w:val="007025E6"/>
    <w:rsid w:val="00710413"/>
    <w:rsid w:val="0071225D"/>
    <w:rsid w:val="0071472A"/>
    <w:rsid w:val="00714943"/>
    <w:rsid w:val="00726273"/>
    <w:rsid w:val="00735131"/>
    <w:rsid w:val="00742261"/>
    <w:rsid w:val="00747CA4"/>
    <w:rsid w:val="0075638A"/>
    <w:rsid w:val="00756A8E"/>
    <w:rsid w:val="00757B56"/>
    <w:rsid w:val="00767957"/>
    <w:rsid w:val="00770AD6"/>
    <w:rsid w:val="00796617"/>
    <w:rsid w:val="007A6BA6"/>
    <w:rsid w:val="007D3C5E"/>
    <w:rsid w:val="007F2CEC"/>
    <w:rsid w:val="008167D3"/>
    <w:rsid w:val="00817A01"/>
    <w:rsid w:val="008270CF"/>
    <w:rsid w:val="00852067"/>
    <w:rsid w:val="00865652"/>
    <w:rsid w:val="0087368B"/>
    <w:rsid w:val="00877BF2"/>
    <w:rsid w:val="00891CEA"/>
    <w:rsid w:val="008A6F11"/>
    <w:rsid w:val="008C071F"/>
    <w:rsid w:val="008E0140"/>
    <w:rsid w:val="008E08A9"/>
    <w:rsid w:val="00902C3A"/>
    <w:rsid w:val="0090548F"/>
    <w:rsid w:val="009160A0"/>
    <w:rsid w:val="00924015"/>
    <w:rsid w:val="009324A1"/>
    <w:rsid w:val="0095354A"/>
    <w:rsid w:val="009618F0"/>
    <w:rsid w:val="00966B27"/>
    <w:rsid w:val="00973ABB"/>
    <w:rsid w:val="0099325B"/>
    <w:rsid w:val="009958E4"/>
    <w:rsid w:val="009E7005"/>
    <w:rsid w:val="009F68E0"/>
    <w:rsid w:val="00A02BD5"/>
    <w:rsid w:val="00A325A1"/>
    <w:rsid w:val="00A35592"/>
    <w:rsid w:val="00A50CF6"/>
    <w:rsid w:val="00A65828"/>
    <w:rsid w:val="00A73049"/>
    <w:rsid w:val="00A8503E"/>
    <w:rsid w:val="00A86812"/>
    <w:rsid w:val="00AB71E0"/>
    <w:rsid w:val="00AB7431"/>
    <w:rsid w:val="00AB7F77"/>
    <w:rsid w:val="00AC11FF"/>
    <w:rsid w:val="00AC3808"/>
    <w:rsid w:val="00AD519D"/>
    <w:rsid w:val="00AE5AEE"/>
    <w:rsid w:val="00AF178D"/>
    <w:rsid w:val="00B05601"/>
    <w:rsid w:val="00B17611"/>
    <w:rsid w:val="00B247AB"/>
    <w:rsid w:val="00B358B4"/>
    <w:rsid w:val="00B36C3B"/>
    <w:rsid w:val="00B56FEB"/>
    <w:rsid w:val="00B84CFB"/>
    <w:rsid w:val="00BC6871"/>
    <w:rsid w:val="00BD23A2"/>
    <w:rsid w:val="00BE5377"/>
    <w:rsid w:val="00C2701F"/>
    <w:rsid w:val="00C368C6"/>
    <w:rsid w:val="00C7033A"/>
    <w:rsid w:val="00C84372"/>
    <w:rsid w:val="00C97737"/>
    <w:rsid w:val="00CA3AA5"/>
    <w:rsid w:val="00CA6986"/>
    <w:rsid w:val="00CB76A1"/>
    <w:rsid w:val="00CC0B9B"/>
    <w:rsid w:val="00CE27A3"/>
    <w:rsid w:val="00CE3B15"/>
    <w:rsid w:val="00CF3D91"/>
    <w:rsid w:val="00D04DFD"/>
    <w:rsid w:val="00D137B1"/>
    <w:rsid w:val="00D154DC"/>
    <w:rsid w:val="00D32820"/>
    <w:rsid w:val="00D40332"/>
    <w:rsid w:val="00D46C84"/>
    <w:rsid w:val="00D6390B"/>
    <w:rsid w:val="00D751A3"/>
    <w:rsid w:val="00D81A5B"/>
    <w:rsid w:val="00D95214"/>
    <w:rsid w:val="00DB1AD0"/>
    <w:rsid w:val="00DB5B23"/>
    <w:rsid w:val="00DD01E8"/>
    <w:rsid w:val="00DD0243"/>
    <w:rsid w:val="00DD0E34"/>
    <w:rsid w:val="00DF3B0D"/>
    <w:rsid w:val="00E03F4C"/>
    <w:rsid w:val="00E33EC6"/>
    <w:rsid w:val="00E8659E"/>
    <w:rsid w:val="00E93890"/>
    <w:rsid w:val="00EA1CB5"/>
    <w:rsid w:val="00EB08E1"/>
    <w:rsid w:val="00ED3270"/>
    <w:rsid w:val="00EE054D"/>
    <w:rsid w:val="00EE355D"/>
    <w:rsid w:val="00F1135B"/>
    <w:rsid w:val="00F170C2"/>
    <w:rsid w:val="00F25F91"/>
    <w:rsid w:val="00F32627"/>
    <w:rsid w:val="00F35C55"/>
    <w:rsid w:val="00F41179"/>
    <w:rsid w:val="00F5699B"/>
    <w:rsid w:val="00F7613D"/>
    <w:rsid w:val="00F90D41"/>
    <w:rsid w:val="00FB1233"/>
    <w:rsid w:val="00FD5634"/>
    <w:rsid w:val="00FF5DAE"/>
    <w:rsid w:val="045F376F"/>
    <w:rsid w:val="074E7D0A"/>
    <w:rsid w:val="08CD2523"/>
    <w:rsid w:val="09C93FE3"/>
    <w:rsid w:val="0B7712E8"/>
    <w:rsid w:val="0BE91DB6"/>
    <w:rsid w:val="0CE518BD"/>
    <w:rsid w:val="0D8A3535"/>
    <w:rsid w:val="0E6B1C28"/>
    <w:rsid w:val="0F671B2C"/>
    <w:rsid w:val="12257ED3"/>
    <w:rsid w:val="12261759"/>
    <w:rsid w:val="13C769C8"/>
    <w:rsid w:val="13E56D45"/>
    <w:rsid w:val="177BE373"/>
    <w:rsid w:val="177EE0D5"/>
    <w:rsid w:val="17DF52CE"/>
    <w:rsid w:val="187C4D93"/>
    <w:rsid w:val="18EF843B"/>
    <w:rsid w:val="1BFD1B45"/>
    <w:rsid w:val="1BFF6B89"/>
    <w:rsid w:val="1C196DEF"/>
    <w:rsid w:val="1CD468F5"/>
    <w:rsid w:val="1D0F37C8"/>
    <w:rsid w:val="1DDC91D2"/>
    <w:rsid w:val="1DF61385"/>
    <w:rsid w:val="1ECF7261"/>
    <w:rsid w:val="1EEE7042"/>
    <w:rsid w:val="1EFD3F77"/>
    <w:rsid w:val="1FA57D86"/>
    <w:rsid w:val="1FAF5661"/>
    <w:rsid w:val="1FFD6F5B"/>
    <w:rsid w:val="20073A9D"/>
    <w:rsid w:val="22190680"/>
    <w:rsid w:val="23A9C781"/>
    <w:rsid w:val="245C47B5"/>
    <w:rsid w:val="25633CE3"/>
    <w:rsid w:val="27803296"/>
    <w:rsid w:val="29082877"/>
    <w:rsid w:val="297350E2"/>
    <w:rsid w:val="29F87F6A"/>
    <w:rsid w:val="2A963D40"/>
    <w:rsid w:val="2B244BFA"/>
    <w:rsid w:val="2B262911"/>
    <w:rsid w:val="2B7E14DB"/>
    <w:rsid w:val="2BE9F8A0"/>
    <w:rsid w:val="2C4F6CB5"/>
    <w:rsid w:val="2DC81391"/>
    <w:rsid w:val="2DCB21CD"/>
    <w:rsid w:val="2EC6434A"/>
    <w:rsid w:val="2EF20A87"/>
    <w:rsid w:val="2F7F6FD6"/>
    <w:rsid w:val="2FD32989"/>
    <w:rsid w:val="2FFB1278"/>
    <w:rsid w:val="2FFBF9A1"/>
    <w:rsid w:val="30A002BB"/>
    <w:rsid w:val="32242AD2"/>
    <w:rsid w:val="33F68B71"/>
    <w:rsid w:val="34FEE594"/>
    <w:rsid w:val="35BB217D"/>
    <w:rsid w:val="35FA6930"/>
    <w:rsid w:val="35FC2D48"/>
    <w:rsid w:val="36142C37"/>
    <w:rsid w:val="37605BDE"/>
    <w:rsid w:val="3776EE32"/>
    <w:rsid w:val="37B5A4AE"/>
    <w:rsid w:val="37DC0826"/>
    <w:rsid w:val="37FF3A92"/>
    <w:rsid w:val="38045A76"/>
    <w:rsid w:val="383FAF12"/>
    <w:rsid w:val="39FD12E3"/>
    <w:rsid w:val="39FD3908"/>
    <w:rsid w:val="3A4F1155"/>
    <w:rsid w:val="3AFF0AA8"/>
    <w:rsid w:val="3BB7E0FD"/>
    <w:rsid w:val="3BC356B0"/>
    <w:rsid w:val="3BE60788"/>
    <w:rsid w:val="3D67188A"/>
    <w:rsid w:val="3D7A395E"/>
    <w:rsid w:val="3DAA114E"/>
    <w:rsid w:val="3DAF7AC7"/>
    <w:rsid w:val="3DDDBB34"/>
    <w:rsid w:val="3DE7737C"/>
    <w:rsid w:val="3E6DB101"/>
    <w:rsid w:val="3E7BF49A"/>
    <w:rsid w:val="3EFF994B"/>
    <w:rsid w:val="3F1ED1DC"/>
    <w:rsid w:val="3F473D81"/>
    <w:rsid w:val="3F7ED5D4"/>
    <w:rsid w:val="3FC5132B"/>
    <w:rsid w:val="3FEB5D8D"/>
    <w:rsid w:val="3FF9BD85"/>
    <w:rsid w:val="3FFF1BB4"/>
    <w:rsid w:val="41342D53"/>
    <w:rsid w:val="43686B13"/>
    <w:rsid w:val="4794A078"/>
    <w:rsid w:val="47DF52EB"/>
    <w:rsid w:val="48012915"/>
    <w:rsid w:val="48C43A71"/>
    <w:rsid w:val="4B1652E5"/>
    <w:rsid w:val="4BD6EF73"/>
    <w:rsid w:val="4C51283A"/>
    <w:rsid w:val="4CFDC621"/>
    <w:rsid w:val="4DBFEA0B"/>
    <w:rsid w:val="4F6BF03A"/>
    <w:rsid w:val="4FBEC4CF"/>
    <w:rsid w:val="4FDF7DE6"/>
    <w:rsid w:val="4FEE2496"/>
    <w:rsid w:val="501D3008"/>
    <w:rsid w:val="51871CD0"/>
    <w:rsid w:val="51FED7AB"/>
    <w:rsid w:val="52410A1E"/>
    <w:rsid w:val="52F57C29"/>
    <w:rsid w:val="537F1B15"/>
    <w:rsid w:val="55152B37"/>
    <w:rsid w:val="55252EE1"/>
    <w:rsid w:val="563F2196"/>
    <w:rsid w:val="56DFB501"/>
    <w:rsid w:val="56DFD195"/>
    <w:rsid w:val="57B7D91A"/>
    <w:rsid w:val="57F350BC"/>
    <w:rsid w:val="59DD74A4"/>
    <w:rsid w:val="5A600685"/>
    <w:rsid w:val="5A76A943"/>
    <w:rsid w:val="5A77C273"/>
    <w:rsid w:val="5B8F6EDB"/>
    <w:rsid w:val="5B94A615"/>
    <w:rsid w:val="5BD462C2"/>
    <w:rsid w:val="5BEBE5B3"/>
    <w:rsid w:val="5BFC7A2E"/>
    <w:rsid w:val="5CD7EF98"/>
    <w:rsid w:val="5CDD0680"/>
    <w:rsid w:val="5CDE496A"/>
    <w:rsid w:val="5CE77539"/>
    <w:rsid w:val="5CFBE78E"/>
    <w:rsid w:val="5D53C085"/>
    <w:rsid w:val="5DB376E2"/>
    <w:rsid w:val="5DBECEC9"/>
    <w:rsid w:val="5DF721D8"/>
    <w:rsid w:val="5DFF817C"/>
    <w:rsid w:val="5E723E03"/>
    <w:rsid w:val="5E9E9140"/>
    <w:rsid w:val="5EBDF035"/>
    <w:rsid w:val="5EFA7CCD"/>
    <w:rsid w:val="5EFDEC7D"/>
    <w:rsid w:val="5F16C98B"/>
    <w:rsid w:val="5F3FC3E1"/>
    <w:rsid w:val="5F7EDE9D"/>
    <w:rsid w:val="5F7F4625"/>
    <w:rsid w:val="5F9A372D"/>
    <w:rsid w:val="5FADC68F"/>
    <w:rsid w:val="5FB2C3BE"/>
    <w:rsid w:val="5FBA5DD0"/>
    <w:rsid w:val="5FDF5381"/>
    <w:rsid w:val="5FE71968"/>
    <w:rsid w:val="5FFB6580"/>
    <w:rsid w:val="5FFBB97A"/>
    <w:rsid w:val="5FFE1A9A"/>
    <w:rsid w:val="5FFFA2A5"/>
    <w:rsid w:val="5FFFFBEE"/>
    <w:rsid w:val="60D50DA7"/>
    <w:rsid w:val="613DDEB5"/>
    <w:rsid w:val="616C4737"/>
    <w:rsid w:val="625A07CF"/>
    <w:rsid w:val="64DF7D57"/>
    <w:rsid w:val="651947B7"/>
    <w:rsid w:val="656E4625"/>
    <w:rsid w:val="6719705B"/>
    <w:rsid w:val="67670B98"/>
    <w:rsid w:val="677B44EF"/>
    <w:rsid w:val="677BBB36"/>
    <w:rsid w:val="697FF3C1"/>
    <w:rsid w:val="6A3E96A0"/>
    <w:rsid w:val="6AFD34F6"/>
    <w:rsid w:val="6AFE40D5"/>
    <w:rsid w:val="6AFF2D05"/>
    <w:rsid w:val="6B7F4DB0"/>
    <w:rsid w:val="6BDD591A"/>
    <w:rsid w:val="6CB73EB4"/>
    <w:rsid w:val="6CDF8AD2"/>
    <w:rsid w:val="6D6F5552"/>
    <w:rsid w:val="6DB94781"/>
    <w:rsid w:val="6DE02BAE"/>
    <w:rsid w:val="6DE5F2E4"/>
    <w:rsid w:val="6DEF3AFE"/>
    <w:rsid w:val="6DF3366F"/>
    <w:rsid w:val="6E926950"/>
    <w:rsid w:val="6E9D9611"/>
    <w:rsid w:val="6EF9F6F4"/>
    <w:rsid w:val="6F759E44"/>
    <w:rsid w:val="6F7F140F"/>
    <w:rsid w:val="6F8313D1"/>
    <w:rsid w:val="6FAB8AB4"/>
    <w:rsid w:val="6FB5870D"/>
    <w:rsid w:val="6FBB27F8"/>
    <w:rsid w:val="6FBF9AE1"/>
    <w:rsid w:val="6FDEADF5"/>
    <w:rsid w:val="6FE14A62"/>
    <w:rsid w:val="6FE758BE"/>
    <w:rsid w:val="6FFF3B00"/>
    <w:rsid w:val="6FFF5108"/>
    <w:rsid w:val="703B5123"/>
    <w:rsid w:val="70FF645A"/>
    <w:rsid w:val="717F0753"/>
    <w:rsid w:val="71B969CE"/>
    <w:rsid w:val="71BFCD44"/>
    <w:rsid w:val="742C33B5"/>
    <w:rsid w:val="746EC9F1"/>
    <w:rsid w:val="74FC6F92"/>
    <w:rsid w:val="7568E099"/>
    <w:rsid w:val="757DE146"/>
    <w:rsid w:val="75BE95F7"/>
    <w:rsid w:val="75DE097E"/>
    <w:rsid w:val="761E51D4"/>
    <w:rsid w:val="767DE63C"/>
    <w:rsid w:val="76BD46B1"/>
    <w:rsid w:val="76FD7867"/>
    <w:rsid w:val="76FF8DD6"/>
    <w:rsid w:val="771D0F75"/>
    <w:rsid w:val="77BB4902"/>
    <w:rsid w:val="77BFC37F"/>
    <w:rsid w:val="77D55D21"/>
    <w:rsid w:val="77DFA7AF"/>
    <w:rsid w:val="77F19E56"/>
    <w:rsid w:val="77F595E8"/>
    <w:rsid w:val="77FBB858"/>
    <w:rsid w:val="77FDDD8F"/>
    <w:rsid w:val="77FF9310"/>
    <w:rsid w:val="77FFEA8D"/>
    <w:rsid w:val="790B20A3"/>
    <w:rsid w:val="7977B5DE"/>
    <w:rsid w:val="7979E56B"/>
    <w:rsid w:val="797B8A78"/>
    <w:rsid w:val="79AF8366"/>
    <w:rsid w:val="79BF38EA"/>
    <w:rsid w:val="79E5D83F"/>
    <w:rsid w:val="79FF4FD6"/>
    <w:rsid w:val="7AA37E55"/>
    <w:rsid w:val="7AE9EBE7"/>
    <w:rsid w:val="7AFA16EA"/>
    <w:rsid w:val="7AFD13FD"/>
    <w:rsid w:val="7B6A64C3"/>
    <w:rsid w:val="7B6FAE5E"/>
    <w:rsid w:val="7B77562A"/>
    <w:rsid w:val="7B7E9BF5"/>
    <w:rsid w:val="7B7FC867"/>
    <w:rsid w:val="7BB91ECD"/>
    <w:rsid w:val="7BC65045"/>
    <w:rsid w:val="7BEF9FDF"/>
    <w:rsid w:val="7BFB78FA"/>
    <w:rsid w:val="7BFF4916"/>
    <w:rsid w:val="7C3A6995"/>
    <w:rsid w:val="7C6DA84A"/>
    <w:rsid w:val="7C9E7224"/>
    <w:rsid w:val="7D6C21E4"/>
    <w:rsid w:val="7D6F4B17"/>
    <w:rsid w:val="7D7FA175"/>
    <w:rsid w:val="7DB37ADD"/>
    <w:rsid w:val="7DBBFC6E"/>
    <w:rsid w:val="7DBDAC1B"/>
    <w:rsid w:val="7DD032F0"/>
    <w:rsid w:val="7DDA67D9"/>
    <w:rsid w:val="7DF7F2EB"/>
    <w:rsid w:val="7DFFF409"/>
    <w:rsid w:val="7E3163C9"/>
    <w:rsid w:val="7E3F26D7"/>
    <w:rsid w:val="7E3FDEC0"/>
    <w:rsid w:val="7EDD01A0"/>
    <w:rsid w:val="7EDF29C1"/>
    <w:rsid w:val="7EDF2F72"/>
    <w:rsid w:val="7EDF5D48"/>
    <w:rsid w:val="7EFC9C11"/>
    <w:rsid w:val="7F0F63E1"/>
    <w:rsid w:val="7F3D6CB7"/>
    <w:rsid w:val="7F57F12B"/>
    <w:rsid w:val="7F678369"/>
    <w:rsid w:val="7F7D58EC"/>
    <w:rsid w:val="7F7D59AE"/>
    <w:rsid w:val="7F7F392E"/>
    <w:rsid w:val="7F8B9762"/>
    <w:rsid w:val="7F999C2B"/>
    <w:rsid w:val="7F9B428A"/>
    <w:rsid w:val="7FAE74E3"/>
    <w:rsid w:val="7FBE7F16"/>
    <w:rsid w:val="7FBEDA0E"/>
    <w:rsid w:val="7FCB632D"/>
    <w:rsid w:val="7FDF200D"/>
    <w:rsid w:val="7FE734B5"/>
    <w:rsid w:val="7FEC8064"/>
    <w:rsid w:val="7FEEDAD3"/>
    <w:rsid w:val="7FF662DF"/>
    <w:rsid w:val="7FF781CD"/>
    <w:rsid w:val="7FFA4473"/>
    <w:rsid w:val="7FFDD25C"/>
    <w:rsid w:val="7FFDD7E5"/>
    <w:rsid w:val="7FFDEAEB"/>
    <w:rsid w:val="7FFF99D1"/>
    <w:rsid w:val="7FFFF70B"/>
    <w:rsid w:val="8758AB25"/>
    <w:rsid w:val="87BBFCE5"/>
    <w:rsid w:val="8DAF9BBB"/>
    <w:rsid w:val="8FAC35F3"/>
    <w:rsid w:val="8FC076DD"/>
    <w:rsid w:val="952F9EFB"/>
    <w:rsid w:val="96FC9E67"/>
    <w:rsid w:val="97FB8694"/>
    <w:rsid w:val="99BFF6EA"/>
    <w:rsid w:val="9BB5E29B"/>
    <w:rsid w:val="9CD7E6A2"/>
    <w:rsid w:val="9CF7FA2E"/>
    <w:rsid w:val="9D4B5CFF"/>
    <w:rsid w:val="9FB2DCD7"/>
    <w:rsid w:val="9FD94E36"/>
    <w:rsid w:val="A38C0AD0"/>
    <w:rsid w:val="A77ED56E"/>
    <w:rsid w:val="AAFD5F1D"/>
    <w:rsid w:val="AD7E6D53"/>
    <w:rsid w:val="ADFBA739"/>
    <w:rsid w:val="AF5D75FD"/>
    <w:rsid w:val="AF6A80B7"/>
    <w:rsid w:val="AF7E07A4"/>
    <w:rsid w:val="AF87A4E9"/>
    <w:rsid w:val="AFB9B02C"/>
    <w:rsid w:val="AFDA9ABE"/>
    <w:rsid w:val="AFFB3CC6"/>
    <w:rsid w:val="AFFF322C"/>
    <w:rsid w:val="AFFFF694"/>
    <w:rsid w:val="B3CB84B4"/>
    <w:rsid w:val="B5D9F41B"/>
    <w:rsid w:val="B5FF5277"/>
    <w:rsid w:val="B66FAA69"/>
    <w:rsid w:val="B6EF6F88"/>
    <w:rsid w:val="B6F55417"/>
    <w:rsid w:val="B6FF0604"/>
    <w:rsid w:val="B76F0513"/>
    <w:rsid w:val="B8FB1927"/>
    <w:rsid w:val="B9CF9ADC"/>
    <w:rsid w:val="B9F121AA"/>
    <w:rsid w:val="BA7B23C6"/>
    <w:rsid w:val="BBFDF332"/>
    <w:rsid w:val="BBFF35EA"/>
    <w:rsid w:val="BD3FB136"/>
    <w:rsid w:val="BD5E50AF"/>
    <w:rsid w:val="BD7F7ED4"/>
    <w:rsid w:val="BDEEAE41"/>
    <w:rsid w:val="BEB734B6"/>
    <w:rsid w:val="BEE7887A"/>
    <w:rsid w:val="BEF37037"/>
    <w:rsid w:val="BEFD77AA"/>
    <w:rsid w:val="BF3B6BC7"/>
    <w:rsid w:val="BF757508"/>
    <w:rsid w:val="BFB4717C"/>
    <w:rsid w:val="BFC3A734"/>
    <w:rsid w:val="BFDCD297"/>
    <w:rsid w:val="BFDFC110"/>
    <w:rsid w:val="BFEDE8C0"/>
    <w:rsid w:val="BFEFDB4B"/>
    <w:rsid w:val="BFF7C7B5"/>
    <w:rsid w:val="BFFA86A0"/>
    <w:rsid w:val="BFFD243C"/>
    <w:rsid w:val="BFFD95DC"/>
    <w:rsid w:val="BFFF15DA"/>
    <w:rsid w:val="BFFFC2D6"/>
    <w:rsid w:val="C7BD9583"/>
    <w:rsid w:val="CABB307E"/>
    <w:rsid w:val="CF383B06"/>
    <w:rsid w:val="CFFF3B11"/>
    <w:rsid w:val="D2CF3D56"/>
    <w:rsid w:val="D2FD6499"/>
    <w:rsid w:val="D4FFD120"/>
    <w:rsid w:val="D5D68ABF"/>
    <w:rsid w:val="D6BFA966"/>
    <w:rsid w:val="D75F8649"/>
    <w:rsid w:val="D765B229"/>
    <w:rsid w:val="D7B91FBA"/>
    <w:rsid w:val="D7F72945"/>
    <w:rsid w:val="D7FAC49E"/>
    <w:rsid w:val="D7FC8769"/>
    <w:rsid w:val="D8F502F1"/>
    <w:rsid w:val="D8FA73A8"/>
    <w:rsid w:val="D9D77885"/>
    <w:rsid w:val="DAFB3FD3"/>
    <w:rsid w:val="DC674303"/>
    <w:rsid w:val="DCFB92A3"/>
    <w:rsid w:val="DD971F6A"/>
    <w:rsid w:val="DDBF5DC4"/>
    <w:rsid w:val="DDC6C723"/>
    <w:rsid w:val="DE7F0102"/>
    <w:rsid w:val="DEFF3C85"/>
    <w:rsid w:val="DF3DB39C"/>
    <w:rsid w:val="DF47BC82"/>
    <w:rsid w:val="DF6F3058"/>
    <w:rsid w:val="DF7FAEC4"/>
    <w:rsid w:val="DF9A6B0A"/>
    <w:rsid w:val="DFAC697E"/>
    <w:rsid w:val="DFAD9E7F"/>
    <w:rsid w:val="DFAE4CD5"/>
    <w:rsid w:val="DFBF1442"/>
    <w:rsid w:val="DFCF9575"/>
    <w:rsid w:val="DFD735C9"/>
    <w:rsid w:val="DFF3DF68"/>
    <w:rsid w:val="DFF6F040"/>
    <w:rsid w:val="DFF7E9E8"/>
    <w:rsid w:val="DFFB4354"/>
    <w:rsid w:val="DFFDD4CB"/>
    <w:rsid w:val="DFFE3628"/>
    <w:rsid w:val="DFFF2E2A"/>
    <w:rsid w:val="DFFF9C9A"/>
    <w:rsid w:val="DFFFE231"/>
    <w:rsid w:val="E3CF6EA1"/>
    <w:rsid w:val="E3F5F04E"/>
    <w:rsid w:val="E5EEE641"/>
    <w:rsid w:val="E6D57462"/>
    <w:rsid w:val="E7EBD8CF"/>
    <w:rsid w:val="E7EFF01E"/>
    <w:rsid w:val="E7F95B36"/>
    <w:rsid w:val="E7FFDE02"/>
    <w:rsid w:val="E8FF8DEB"/>
    <w:rsid w:val="E9F71EFB"/>
    <w:rsid w:val="EAFFF9CF"/>
    <w:rsid w:val="EB7FFEB4"/>
    <w:rsid w:val="EDC4F537"/>
    <w:rsid w:val="EDD16301"/>
    <w:rsid w:val="EDFF401D"/>
    <w:rsid w:val="EEAD154F"/>
    <w:rsid w:val="EEC3AB55"/>
    <w:rsid w:val="EEF9DB15"/>
    <w:rsid w:val="EEFD407D"/>
    <w:rsid w:val="EF3E9D8C"/>
    <w:rsid w:val="EF776797"/>
    <w:rsid w:val="EF7B23DC"/>
    <w:rsid w:val="EF9ABB46"/>
    <w:rsid w:val="EFBA4967"/>
    <w:rsid w:val="EFBF3B24"/>
    <w:rsid w:val="EFD52761"/>
    <w:rsid w:val="EFDB7DAD"/>
    <w:rsid w:val="EFDB8AEC"/>
    <w:rsid w:val="EFF99D69"/>
    <w:rsid w:val="EFFE1F2A"/>
    <w:rsid w:val="EFFF99D8"/>
    <w:rsid w:val="EFFFA1A4"/>
    <w:rsid w:val="F15FEAA3"/>
    <w:rsid w:val="F17F5C67"/>
    <w:rsid w:val="F1954EE7"/>
    <w:rsid w:val="F1EF62D0"/>
    <w:rsid w:val="F1FFE275"/>
    <w:rsid w:val="F3DFE239"/>
    <w:rsid w:val="F3E330D3"/>
    <w:rsid w:val="F57B7751"/>
    <w:rsid w:val="F6CF30E0"/>
    <w:rsid w:val="F6FD55F0"/>
    <w:rsid w:val="F768CBF8"/>
    <w:rsid w:val="F7793BFF"/>
    <w:rsid w:val="F77DA267"/>
    <w:rsid w:val="F7AF66B2"/>
    <w:rsid w:val="F7B542B2"/>
    <w:rsid w:val="F7C4CF8D"/>
    <w:rsid w:val="F7DED399"/>
    <w:rsid w:val="F7EBDE9F"/>
    <w:rsid w:val="F7F7A57D"/>
    <w:rsid w:val="F7F7FA8B"/>
    <w:rsid w:val="F85E855A"/>
    <w:rsid w:val="F8AF083B"/>
    <w:rsid w:val="F8DD42C0"/>
    <w:rsid w:val="F8F5CE09"/>
    <w:rsid w:val="F9D67494"/>
    <w:rsid w:val="F9DB5AEC"/>
    <w:rsid w:val="F9FB9F43"/>
    <w:rsid w:val="FADBA907"/>
    <w:rsid w:val="FB95A551"/>
    <w:rsid w:val="FB9ABE5E"/>
    <w:rsid w:val="FBD32EB5"/>
    <w:rsid w:val="FBE7C90E"/>
    <w:rsid w:val="FBEBB550"/>
    <w:rsid w:val="FBEF3ADC"/>
    <w:rsid w:val="FC3C8A9F"/>
    <w:rsid w:val="FC6BA86E"/>
    <w:rsid w:val="FC9D7A63"/>
    <w:rsid w:val="FCB12173"/>
    <w:rsid w:val="FCC064ED"/>
    <w:rsid w:val="FD1E4B3E"/>
    <w:rsid w:val="FD731F34"/>
    <w:rsid w:val="FD7BAAF7"/>
    <w:rsid w:val="FDB1F6F4"/>
    <w:rsid w:val="FDDE1996"/>
    <w:rsid w:val="FDFD5683"/>
    <w:rsid w:val="FDFF08B7"/>
    <w:rsid w:val="FE49A638"/>
    <w:rsid w:val="FE6FB506"/>
    <w:rsid w:val="FE734873"/>
    <w:rsid w:val="FEAF1BCF"/>
    <w:rsid w:val="FEB6F25D"/>
    <w:rsid w:val="FEBB1F6F"/>
    <w:rsid w:val="FEBC411E"/>
    <w:rsid w:val="FEBE18DD"/>
    <w:rsid w:val="FED68FB5"/>
    <w:rsid w:val="FEDFF97C"/>
    <w:rsid w:val="FEE7B9BA"/>
    <w:rsid w:val="FEFBA9AC"/>
    <w:rsid w:val="FEFC86D6"/>
    <w:rsid w:val="FF17AC09"/>
    <w:rsid w:val="FF2EF3F3"/>
    <w:rsid w:val="FF3AAC35"/>
    <w:rsid w:val="FF3FEFAE"/>
    <w:rsid w:val="FF6CAFF9"/>
    <w:rsid w:val="FF712658"/>
    <w:rsid w:val="FF7E05C3"/>
    <w:rsid w:val="FF97FAE6"/>
    <w:rsid w:val="FF9FE431"/>
    <w:rsid w:val="FFAF7EB3"/>
    <w:rsid w:val="FFBD379C"/>
    <w:rsid w:val="FFCE482D"/>
    <w:rsid w:val="FFDC9721"/>
    <w:rsid w:val="FFDDE8FF"/>
    <w:rsid w:val="FFDE4068"/>
    <w:rsid w:val="FFDF6FEC"/>
    <w:rsid w:val="FFDFBB0E"/>
    <w:rsid w:val="FFE5D557"/>
    <w:rsid w:val="FFEC5289"/>
    <w:rsid w:val="FFEF0884"/>
    <w:rsid w:val="FFF304C9"/>
    <w:rsid w:val="FFF75424"/>
    <w:rsid w:val="FFF9D500"/>
    <w:rsid w:val="FFF9F1C8"/>
    <w:rsid w:val="FFFB4308"/>
    <w:rsid w:val="FFFEADA1"/>
    <w:rsid w:val="FFFF13DA"/>
    <w:rsid w:val="FFFF6A24"/>
    <w:rsid w:val="FFFF738F"/>
    <w:rsid w:val="FFFFD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0"/>
    <w:qFormat/>
    <w:uiPriority w:val="9"/>
    <w:pPr>
      <w:keepNext/>
      <w:keepLines/>
      <w:spacing w:before="340" w:after="330" w:line="700" w:lineRule="exact"/>
      <w:jc w:val="center"/>
      <w:outlineLvl w:val="0"/>
    </w:pPr>
    <w:rPr>
      <w:rFonts w:eastAsia="黑体"/>
      <w:kern w:val="44"/>
      <w:sz w:val="32"/>
    </w:rPr>
  </w:style>
  <w:style w:type="paragraph" w:styleId="4">
    <w:name w:val="heading 2"/>
    <w:basedOn w:val="1"/>
    <w:next w:val="1"/>
    <w:link w:val="25"/>
    <w:unhideWhenUsed/>
    <w:qFormat/>
    <w:uiPriority w:val="9"/>
    <w:pPr>
      <w:keepNext/>
      <w:keepLines/>
      <w:spacing w:before="260" w:after="260" w:line="413" w:lineRule="auto"/>
      <w:outlineLvl w:val="1"/>
    </w:pPr>
    <w:rPr>
      <w:rFonts w:ascii="Arial" w:hAnsi="Arial" w:eastAsia="楷体"/>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link w:val="29"/>
    <w:semiHidden/>
    <w:unhideWhenUsed/>
    <w:qFormat/>
    <w:uiPriority w:val="99"/>
    <w:pPr>
      <w:ind w:firstLine="420" w:firstLineChars="200"/>
    </w:pPr>
  </w:style>
  <w:style w:type="paragraph" w:styleId="5">
    <w:name w:val="annotation text"/>
    <w:basedOn w:val="1"/>
    <w:semiHidden/>
    <w:unhideWhenUsed/>
    <w:qFormat/>
    <w:uiPriority w:val="99"/>
    <w:pPr>
      <w:jc w:val="left"/>
    </w:pPr>
  </w:style>
  <w:style w:type="paragraph" w:styleId="6">
    <w:name w:val="Body Text Indent"/>
    <w:basedOn w:val="1"/>
    <w:link w:val="28"/>
    <w:semiHidden/>
    <w:unhideWhenUsed/>
    <w:qFormat/>
    <w:uiPriority w:val="99"/>
    <w:pPr>
      <w:spacing w:after="120" w:line="278" w:lineRule="auto"/>
      <w:ind w:left="420" w:leftChars="200"/>
    </w:pPr>
  </w:style>
  <w:style w:type="paragraph" w:styleId="7">
    <w:name w:val="footer"/>
    <w:basedOn w:val="1"/>
    <w:link w:val="23"/>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qFormat/>
    <w:uiPriority w:val="99"/>
    <w:pP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834"/>
      </w:tabs>
      <w:spacing w:after="160" w:line="278" w:lineRule="auto"/>
    </w:pPr>
    <w:rPr>
      <w:rFonts w:ascii="仿宋_GB2312" w:hAnsi="黑体" w:eastAsia="仿宋_GB2312"/>
      <w:sz w:val="32"/>
      <w:szCs w:val="32"/>
    </w:rPr>
  </w:style>
  <w:style w:type="paragraph" w:styleId="10">
    <w:name w:val="toc 2"/>
    <w:basedOn w:val="1"/>
    <w:next w:val="1"/>
    <w:semiHidden/>
    <w:unhideWhenUsed/>
    <w:qFormat/>
    <w:uiPriority w:val="39"/>
    <w:pPr>
      <w:spacing w:after="160" w:line="278" w:lineRule="auto"/>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qFormat/>
    <w:uiPriority w:val="0"/>
    <w:pPr>
      <w:spacing w:before="240" w:after="60"/>
      <w:jc w:val="center"/>
      <w:outlineLvl w:val="0"/>
    </w:pPr>
    <w:rPr>
      <w:rFonts w:ascii="Cambria" w:hAnsi="Cambria" w:eastAsia="宋体" w:cs="Times New Roman"/>
      <w:b/>
      <w:bCs/>
      <w:sz w:val="32"/>
      <w:szCs w:val="32"/>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FollowedHyperlink"/>
    <w:basedOn w:val="15"/>
    <w:semiHidden/>
    <w:unhideWhenUsed/>
    <w:qFormat/>
    <w:uiPriority w:val="99"/>
    <w:rPr>
      <w:color w:val="800080"/>
      <w:u w:val="single"/>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styleId="19">
    <w:name w:val="annotation reference"/>
    <w:basedOn w:val="15"/>
    <w:semiHidden/>
    <w:unhideWhenUsed/>
    <w:qFormat/>
    <w:uiPriority w:val="99"/>
    <w:rPr>
      <w:sz w:val="21"/>
      <w:szCs w:val="21"/>
    </w:rPr>
  </w:style>
  <w:style w:type="paragraph" w:styleId="20">
    <w:name w:val="List Paragraph"/>
    <w:basedOn w:val="1"/>
    <w:qFormat/>
    <w:uiPriority w:val="34"/>
    <w:pPr>
      <w:ind w:firstLine="420" w:firstLineChars="200"/>
    </w:pPr>
    <w:rPr>
      <w:rFonts w:eastAsia="仿宋_GB2312"/>
      <w:sz w:val="28"/>
    </w:rPr>
  </w:style>
  <w:style w:type="character" w:customStyle="1" w:styleId="21">
    <w:name w:val="未处理的提及1"/>
    <w:basedOn w:val="15"/>
    <w:semiHidden/>
    <w:unhideWhenUsed/>
    <w:qFormat/>
    <w:uiPriority w:val="99"/>
    <w:rPr>
      <w:color w:val="605E5C"/>
      <w:shd w:val="clear" w:color="auto" w:fill="E1DFDD"/>
    </w:rPr>
  </w:style>
  <w:style w:type="character" w:customStyle="1" w:styleId="22">
    <w:name w:val="页眉 字符"/>
    <w:basedOn w:val="15"/>
    <w:link w:val="8"/>
    <w:qFormat/>
    <w:uiPriority w:val="99"/>
    <w:rPr>
      <w:sz w:val="18"/>
      <w:szCs w:val="18"/>
    </w:rPr>
  </w:style>
  <w:style w:type="character" w:customStyle="1" w:styleId="23">
    <w:name w:val="页脚 字符"/>
    <w:basedOn w:val="15"/>
    <w:link w:val="7"/>
    <w:qFormat/>
    <w:uiPriority w:val="99"/>
    <w:rPr>
      <w:sz w:val="18"/>
      <w:szCs w:val="18"/>
    </w:rPr>
  </w:style>
  <w:style w:type="paragraph" w:customStyle="1" w:styleId="24">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5">
    <w:name w:val="标题 2 字符"/>
    <w:link w:val="4"/>
    <w:qFormat/>
    <w:uiPriority w:val="9"/>
    <w:rPr>
      <w:rFonts w:ascii="Arial" w:hAnsi="Arial" w:eastAsia="楷体"/>
      <w:b/>
      <w:sz w:val="32"/>
    </w:rPr>
  </w:style>
  <w:style w:type="paragraph" w:customStyle="1" w:styleId="26">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styleId="27">
    <w:name w:val="Placeholder Text"/>
    <w:basedOn w:val="15"/>
    <w:unhideWhenUsed/>
    <w:qFormat/>
    <w:uiPriority w:val="99"/>
    <w:rPr>
      <w:color w:val="666666"/>
    </w:rPr>
  </w:style>
  <w:style w:type="character" w:customStyle="1" w:styleId="28">
    <w:name w:val="正文文本缩进 字符"/>
    <w:basedOn w:val="15"/>
    <w:link w:val="6"/>
    <w:semiHidden/>
    <w:qFormat/>
    <w:uiPriority w:val="99"/>
    <w:rPr>
      <w:rFonts w:asciiTheme="minorHAnsi" w:hAnsiTheme="minorHAnsi" w:eastAsiaTheme="minorEastAsia" w:cstheme="minorBidi"/>
      <w:kern w:val="2"/>
      <w:sz w:val="21"/>
      <w:szCs w:val="22"/>
    </w:rPr>
  </w:style>
  <w:style w:type="character" w:customStyle="1" w:styleId="29">
    <w:name w:val="正文文本首行缩进 2 字符"/>
    <w:basedOn w:val="28"/>
    <w:link w:val="2"/>
    <w:semiHidden/>
    <w:qFormat/>
    <w:uiPriority w:val="99"/>
    <w:rPr>
      <w:rFonts w:asciiTheme="minorHAnsi" w:hAnsiTheme="minorHAnsi" w:eastAsiaTheme="minorEastAsia" w:cstheme="minorBidi"/>
      <w:kern w:val="2"/>
      <w:sz w:val="21"/>
      <w:szCs w:val="22"/>
    </w:rPr>
  </w:style>
  <w:style w:type="character" w:customStyle="1" w:styleId="30">
    <w:name w:val="标题 1 字符"/>
    <w:basedOn w:val="15"/>
    <w:link w:val="3"/>
    <w:qFormat/>
    <w:uiPriority w:val="9"/>
    <w:rPr>
      <w:rFonts w:eastAsia="黑体" w:asciiTheme="minorHAnsi" w:hAnsiTheme="minorHAnsi" w:cstheme="minorBidi"/>
      <w:kern w:val="44"/>
      <w:sz w:val="32"/>
      <w:szCs w:val="22"/>
    </w:rPr>
  </w:style>
  <w:style w:type="paragraph" w:customStyle="1" w:styleId="31">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color w:val="2F5597"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1252</Words>
  <Characters>1262</Characters>
  <Lines>232</Lines>
  <Paragraphs>65</Paragraphs>
  <TotalTime>53</TotalTime>
  <ScaleCrop>false</ScaleCrop>
  <LinksUpToDate>false</LinksUpToDate>
  <CharactersWithSpaces>1269</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2025-12-05T02:32:00Z</dcterms:created>
  <dc:creator>刘 国诚</dc:creator>
  <cp:lastModifiedBy>lingwei</cp:lastModifiedBy>
  <cp:lastPrinted>2025-11-21T11:22:00Z</cp:lastPrinted>
  <dcterms:modified xsi:type="dcterms:W3CDTF">2025-12-15T15:15:24Z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0D4A9F53C82D4723BAA094FD935D8149_13</vt:lpwstr>
  </property>
  <property fmtid="{D5CDD505-2E9C-101B-9397-08002B2CF9AE}" pid="4" name="KSOTemplateDocerSaveRecord">
    <vt:lpwstr>eyJoZGlkIjoiNDZhY2E5MTRiMjIwZmM5Yjk4ZmE3ZTQzMzhjOGYxYTkiLCJ1c2VySWQiOiIyNTIyODEzODUifQ==</vt:lpwstr>
  </property>
</Properties>
</file>